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88" w:rsidRPr="00390ABA" w:rsidRDefault="005D4877" w:rsidP="002C53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0ABA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95607B" w:rsidRPr="00390ABA">
        <w:rPr>
          <w:rFonts w:ascii="Times New Roman" w:hAnsi="Times New Roman" w:cs="Times New Roman"/>
          <w:b/>
          <w:sz w:val="28"/>
          <w:szCs w:val="28"/>
        </w:rPr>
        <w:t>RELAÇÃO EN</w:t>
      </w:r>
      <w:r w:rsidR="002E19AC" w:rsidRPr="00390ABA">
        <w:rPr>
          <w:rFonts w:ascii="Times New Roman" w:hAnsi="Times New Roman" w:cs="Times New Roman"/>
          <w:b/>
          <w:sz w:val="28"/>
          <w:szCs w:val="28"/>
        </w:rPr>
        <w:t>TRE PROFESSOR, MONITOR E ALUNO</w:t>
      </w:r>
      <w:r w:rsidR="00FF01B6" w:rsidRPr="00390ABA">
        <w:rPr>
          <w:rFonts w:ascii="Times New Roman" w:hAnsi="Times New Roman" w:cs="Times New Roman"/>
          <w:b/>
          <w:sz w:val="28"/>
          <w:szCs w:val="28"/>
        </w:rPr>
        <w:t xml:space="preserve"> COMO RECURS</w:t>
      </w:r>
      <w:r w:rsidR="002C53CF" w:rsidRPr="00390ABA">
        <w:rPr>
          <w:rFonts w:ascii="Times New Roman" w:hAnsi="Times New Roman" w:cs="Times New Roman"/>
          <w:b/>
          <w:sz w:val="28"/>
          <w:szCs w:val="28"/>
        </w:rPr>
        <w:t>O PARA A MELHORIA DO PROCESSO ENSINO-APRENDIZAGEM</w:t>
      </w:r>
      <w:r w:rsidR="002E19AC" w:rsidRPr="00390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3CF" w:rsidRPr="00390ABA" w:rsidRDefault="002C53CF" w:rsidP="002C53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3CF" w:rsidRPr="005A0318" w:rsidRDefault="00264197" w:rsidP="00BD12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0ABA">
        <w:rPr>
          <w:rFonts w:ascii="Times New Roman" w:hAnsi="Times New Roman" w:cs="Times New Roman"/>
          <w:sz w:val="24"/>
          <w:szCs w:val="24"/>
        </w:rPr>
        <w:t>Priscila Dinah Lima Oliveira</w:t>
      </w:r>
      <w:r w:rsidR="00332D21" w:rsidRPr="00390ABA">
        <w:rPr>
          <w:rFonts w:ascii="Times New Roman" w:hAnsi="Times New Roman" w:cs="Times New Roman"/>
          <w:sz w:val="24"/>
          <w:szCs w:val="24"/>
        </w:rPr>
        <w:t>¹</w:t>
      </w:r>
      <w:r w:rsidRPr="00390ABA">
        <w:rPr>
          <w:rFonts w:ascii="Times New Roman" w:hAnsi="Times New Roman" w:cs="Times New Roman"/>
          <w:sz w:val="24"/>
          <w:szCs w:val="24"/>
        </w:rPr>
        <w:t>,</w:t>
      </w:r>
      <w:r w:rsidR="00332D21" w:rsidRPr="00390ABA">
        <w:rPr>
          <w:rFonts w:ascii="Times New Roman" w:hAnsi="Times New Roman" w:cs="Times New Roman"/>
          <w:sz w:val="24"/>
          <w:szCs w:val="24"/>
        </w:rPr>
        <w:t xml:space="preserve"> Edjeyse de Oliveira </w:t>
      </w:r>
      <w:r w:rsidR="00E10580" w:rsidRPr="00390ABA">
        <w:rPr>
          <w:rFonts w:ascii="Times New Roman" w:hAnsi="Times New Roman" w:cs="Times New Roman"/>
          <w:sz w:val="24"/>
          <w:szCs w:val="24"/>
        </w:rPr>
        <w:t>Cunha</w:t>
      </w:r>
      <w:r w:rsidR="00E10580" w:rsidRPr="00390ABA">
        <w:rPr>
          <w:rFonts w:ascii="Times New Roman" w:hAnsi="Times New Roman" w:cs="Times New Roman"/>
          <w:sz w:val="24"/>
          <w:szCs w:val="24"/>
          <w:vertAlign w:val="superscript"/>
        </w:rPr>
        <w:t>²</w:t>
      </w:r>
      <w:r w:rsidR="00E10580" w:rsidRPr="00390ABA">
        <w:rPr>
          <w:rFonts w:ascii="Times New Roman" w:hAnsi="Times New Roman" w:cs="Times New Roman"/>
          <w:sz w:val="24"/>
          <w:szCs w:val="24"/>
        </w:rPr>
        <w:t>,</w:t>
      </w:r>
      <w:r w:rsidR="00332D21" w:rsidRPr="00390ABA">
        <w:rPr>
          <w:rFonts w:ascii="Times New Roman" w:hAnsi="Times New Roman" w:cs="Times New Roman"/>
          <w:sz w:val="24"/>
          <w:szCs w:val="24"/>
        </w:rPr>
        <w:t xml:space="preserve"> </w:t>
      </w:r>
      <w:r w:rsidR="002C53CF" w:rsidRPr="00390ABA">
        <w:rPr>
          <w:rFonts w:ascii="Times New Roman" w:hAnsi="Times New Roman" w:cs="Times New Roman"/>
          <w:sz w:val="24"/>
          <w:szCs w:val="24"/>
        </w:rPr>
        <w:t xml:space="preserve">Maria Lúcia da </w:t>
      </w:r>
      <w:r w:rsidR="00E10580" w:rsidRPr="00390ABA">
        <w:rPr>
          <w:rFonts w:ascii="Times New Roman" w:hAnsi="Times New Roman" w:cs="Times New Roman"/>
          <w:sz w:val="24"/>
          <w:szCs w:val="24"/>
        </w:rPr>
        <w:t>Conceição</w:t>
      </w:r>
      <w:r w:rsidR="00E10580" w:rsidRPr="00390ABA">
        <w:rPr>
          <w:rFonts w:ascii="Times New Roman" w:hAnsi="Times New Roman" w:cs="Times New Roman"/>
          <w:sz w:val="24"/>
          <w:szCs w:val="24"/>
          <w:vertAlign w:val="superscript"/>
        </w:rPr>
        <w:t>³</w:t>
      </w:r>
      <w:r w:rsidR="005A0318">
        <w:rPr>
          <w:rFonts w:ascii="Times New Roman" w:hAnsi="Times New Roman" w:cs="Times New Roman"/>
          <w:sz w:val="24"/>
          <w:szCs w:val="24"/>
        </w:rPr>
        <w:t>, Maria da Conceição Gonçalves</w:t>
      </w:r>
      <w:r w:rsidR="005A031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A0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D21" w:rsidRPr="00390ABA" w:rsidRDefault="00332D21" w:rsidP="00332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0AB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8E2397" w:rsidRPr="00390ABA">
        <w:rPr>
          <w:rFonts w:ascii="Times New Roman" w:hAnsi="Times New Roman" w:cs="Times New Roman"/>
          <w:color w:val="000000"/>
          <w:sz w:val="24"/>
          <w:szCs w:val="24"/>
        </w:rPr>
        <w:t>Monitora Bolsista</w:t>
      </w:r>
      <w:r w:rsidRPr="00390ABA">
        <w:rPr>
          <w:rFonts w:ascii="Times New Roman" w:hAnsi="Times New Roman" w:cs="Times New Roman"/>
          <w:color w:val="000000"/>
          <w:sz w:val="24"/>
          <w:szCs w:val="24"/>
        </w:rPr>
        <w:t>/Monitor</w:t>
      </w:r>
      <w:r w:rsidR="008E2397" w:rsidRPr="00390AB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90ABA">
        <w:rPr>
          <w:rFonts w:ascii="Times New Roman" w:hAnsi="Times New Roman" w:cs="Times New Roman"/>
          <w:color w:val="000000"/>
          <w:sz w:val="24"/>
          <w:szCs w:val="24"/>
        </w:rPr>
        <w:t xml:space="preserve">a/DN/CCS/UFPB; </w:t>
      </w:r>
    </w:p>
    <w:p w:rsidR="008E2397" w:rsidRPr="00390ABA" w:rsidRDefault="00332D21" w:rsidP="00332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0ABA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8E2397" w:rsidRPr="00390ABA">
        <w:rPr>
          <w:rFonts w:ascii="Times New Roman" w:hAnsi="Times New Roman" w:cs="Times New Roman"/>
          <w:color w:val="000000"/>
          <w:sz w:val="24"/>
          <w:szCs w:val="24"/>
        </w:rPr>
        <w:t>Monitora Voluntária/Monitoria/DN/CCS/UFPB</w:t>
      </w:r>
    </w:p>
    <w:p w:rsidR="00332D21" w:rsidRDefault="008E2397" w:rsidP="00332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0ABA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332D21" w:rsidRPr="00390ABA">
        <w:rPr>
          <w:rFonts w:ascii="Times New Roman" w:hAnsi="Times New Roman" w:cs="Times New Roman"/>
          <w:color w:val="000000"/>
          <w:sz w:val="24"/>
          <w:szCs w:val="24"/>
        </w:rPr>
        <w:t>Professora do Departamento de Nutrição/Orientadora</w:t>
      </w:r>
      <w:r w:rsidR="005A031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32D21" w:rsidRPr="00390ABA">
        <w:rPr>
          <w:rFonts w:ascii="Times New Roman" w:hAnsi="Times New Roman" w:cs="Times New Roman"/>
          <w:color w:val="000000"/>
          <w:sz w:val="24"/>
          <w:szCs w:val="24"/>
        </w:rPr>
        <w:t>DN/CCS/UFPB</w:t>
      </w:r>
    </w:p>
    <w:p w:rsidR="005A0318" w:rsidRDefault="005A0318" w:rsidP="00332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Professora do Departamento de Nutrição/Coordenadora/DN/CCS/UFPB </w:t>
      </w:r>
    </w:p>
    <w:p w:rsidR="00D40BE7" w:rsidRDefault="00D40BE7" w:rsidP="00332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0BE7" w:rsidRPr="00D40BE7" w:rsidRDefault="00D40BE7" w:rsidP="00D40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BE7">
        <w:rPr>
          <w:rFonts w:ascii="Times New Roman" w:hAnsi="Times New Roman" w:cs="Times New Roman"/>
          <w:color w:val="000000"/>
          <w:sz w:val="24"/>
          <w:szCs w:val="24"/>
        </w:rPr>
        <w:t>RESUMO</w:t>
      </w:r>
    </w:p>
    <w:p w:rsidR="00D40BE7" w:rsidRPr="00D40BE7" w:rsidRDefault="00D40BE7" w:rsidP="00D40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0BE7" w:rsidRPr="00D40BE7" w:rsidRDefault="00D40BE7" w:rsidP="00D40B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40BE7">
        <w:rPr>
          <w:rFonts w:ascii="Times New Roman" w:hAnsi="Times New Roman" w:cs="Times New Roman"/>
          <w:sz w:val="24"/>
          <w:szCs w:val="24"/>
        </w:rPr>
        <w:t>A monitoria é entendida como um instrumento para a m</w:t>
      </w:r>
      <w:r>
        <w:rPr>
          <w:rFonts w:ascii="Times New Roman" w:hAnsi="Times New Roman" w:cs="Times New Roman"/>
          <w:sz w:val="24"/>
          <w:szCs w:val="24"/>
        </w:rPr>
        <w:t>elhoria do ensino de graduação,</w:t>
      </w:r>
      <w:r w:rsidRPr="00D40BE7">
        <w:rPr>
          <w:rFonts w:ascii="Times New Roman" w:hAnsi="Times New Roman" w:cs="Times New Roman"/>
          <w:sz w:val="24"/>
          <w:szCs w:val="24"/>
        </w:rPr>
        <w:t>através do estabelecimento de novas práticas e experiências pedagógicas que visem fortalecer a articulação entre teoria e prática. O exercício da monitoria é percebido como um subsídio necessário à prática docente, pois o aluno-monitor além de complementar seus conhecimentos, adquire habilidades, capacidade de interação, seja na vida acadêmica ou na profissional. O monitor tende a funcionar como um elo entre professor e aluno, disposto a colaborar com o processo ensino-aprendizagem desse aluno. A monitoria apresenta como objetivos possibilitar o início da experiência pedagógica para os alunos monitores, auxiliar o professor na ministração de aulas práticas e na correção de trabalhos e listas de exercícios e oferecer acompanhamento e assistência para os alunos. Este trabalho resulta das atividades desenvolvidas durante a monitoria da disciplina Microbiologia dos alimentos do curso de graduação em Nutrição, realizadas no Laboratório de Microbiologia e Bioquímica dos Alimentos, da UFPB durante o período letivo 2011.2 e 2012.1. Houve uma integração do ensino a pesquisa, onde os monitores puderam aprender a conduzir e colaborar em trabalhos de pesquisas além de preparar, acompanhar e atuar nas aulas práticas e na elaboração de material didático. A partir disso, foi feita a análise do processo ensino-aprendizagem dos alunos através do índice de reprovação apresentado nas turmas do período de vigência da monitoria 2011.2 e 2012.1. No semestre letivo de 2011.2 o índice de reprovação de 10,34%, enquanto que no período 2012.2, este índice caiu para 5,71%. Comparando as duas turmas, percebe-se que há uma evolução no desempenho e na aprendizagem do alunado devido a diminuição do índice de reprovação e consequentemente o aumento da aprovação na disciplina. Atribui-se este fato a uma melhor interação do aluno com os dois eixos facilitadores de ensino, o professor e o monitor. A prática da monitoria acadêmica funciona como um instrumento facilitador do trabalho docente quando o monitor promove aos demais alunos o esclarecimento de conteúdos curriculares. Percebe-se a sua importância quando aparados aos dados que demonstram uma evolução no aprendizado, a partir de uma maior aprovação.</w:t>
      </w:r>
    </w:p>
    <w:p w:rsidR="00D40BE7" w:rsidRPr="00D40BE7" w:rsidRDefault="00D40BE7" w:rsidP="00D40BE7">
      <w:pPr>
        <w:pStyle w:val="SemEspaamento"/>
      </w:pPr>
    </w:p>
    <w:p w:rsidR="00D40BE7" w:rsidRPr="00D40BE7" w:rsidRDefault="00D40BE7" w:rsidP="00D40BE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40BE7">
        <w:rPr>
          <w:rFonts w:ascii="Times New Roman" w:hAnsi="Times New Roman" w:cs="Times New Roman"/>
          <w:sz w:val="24"/>
          <w:szCs w:val="24"/>
        </w:rPr>
        <w:t>Palavras-chave: Monitoria, Ensino-aprendizagem, Índice de Reprovação.</w:t>
      </w:r>
    </w:p>
    <w:p w:rsidR="00332D21" w:rsidRPr="00390ABA" w:rsidRDefault="00332D21" w:rsidP="00BD12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0686" w:rsidRPr="00390ABA" w:rsidRDefault="00D60686" w:rsidP="005146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ABA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5146FD" w:rsidRPr="00390ABA" w:rsidRDefault="005146FD" w:rsidP="0051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686" w:rsidRPr="00390ABA" w:rsidRDefault="00D60686" w:rsidP="00BE0F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ABA">
        <w:rPr>
          <w:rFonts w:ascii="Times New Roman" w:hAnsi="Times New Roman" w:cs="Times New Roman"/>
          <w:sz w:val="24"/>
          <w:szCs w:val="24"/>
        </w:rPr>
        <w:lastRenderedPageBreak/>
        <w:t>A monitoria é entendida como um instrumento para a melhoria do ensino de graduação, através do estabelecimento de novas práticas e experiências pedagógicas que visem fortalecer a articulação entre teoria e prática e a integração curricular em seus diferentes aspectos. Tem</w:t>
      </w:r>
      <w:r w:rsidR="005146FD" w:rsidRPr="00390ABA">
        <w:rPr>
          <w:rFonts w:ascii="Times New Roman" w:hAnsi="Times New Roman" w:cs="Times New Roman"/>
          <w:sz w:val="24"/>
          <w:szCs w:val="24"/>
        </w:rPr>
        <w:t xml:space="preserve"> como finalidade promover a cooperação mútua entre discentes e docentes e a vivência com o professor e com as suas atividades técnico-didáticas</w:t>
      </w:r>
      <w:r w:rsidR="00986F2D" w:rsidRPr="00390ABA">
        <w:rPr>
          <w:rFonts w:ascii="Times New Roman" w:hAnsi="Times New Roman" w:cs="Times New Roman"/>
          <w:sz w:val="24"/>
          <w:szCs w:val="24"/>
        </w:rPr>
        <w:t xml:space="preserve"> (PORTELA, 2008)</w:t>
      </w:r>
      <w:r w:rsidR="005146FD" w:rsidRPr="00390ABA">
        <w:rPr>
          <w:rFonts w:ascii="Times New Roman" w:hAnsi="Times New Roman" w:cs="Times New Roman"/>
          <w:sz w:val="24"/>
          <w:szCs w:val="24"/>
        </w:rPr>
        <w:t>.</w:t>
      </w:r>
      <w:r w:rsidR="00BE0FB1" w:rsidRPr="00390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CD2" w:rsidRPr="00390ABA" w:rsidRDefault="00CE7CD2" w:rsidP="005441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ABA">
        <w:rPr>
          <w:rFonts w:ascii="Times New Roman" w:hAnsi="Times New Roman" w:cs="Times New Roman"/>
          <w:sz w:val="24"/>
          <w:szCs w:val="24"/>
        </w:rPr>
        <w:t xml:space="preserve">O exercício da monitoria é percebido como um subsídio necessário à prática docente, pois o aluno-monitor além de complementar seus conhecimentos, adquire habilidades, capacidade de interação e trabalha a postura diante de determinadas situações, seja na vida acadêmica ou na profissional. Ou seja, a monitoria atua como uma prática relevante para a formação do estudante ao se caracterizar como uma atividade de iniciação à docência (GUEDES FILHO </w:t>
      </w:r>
      <w:r w:rsidRPr="00390ABA">
        <w:rPr>
          <w:rFonts w:ascii="Times New Roman" w:hAnsi="Times New Roman" w:cs="Times New Roman"/>
          <w:i/>
          <w:sz w:val="24"/>
          <w:szCs w:val="24"/>
        </w:rPr>
        <w:t>et al</w:t>
      </w:r>
      <w:r w:rsidRPr="00390ABA">
        <w:rPr>
          <w:rFonts w:ascii="Times New Roman" w:hAnsi="Times New Roman" w:cs="Times New Roman"/>
          <w:sz w:val="24"/>
          <w:szCs w:val="24"/>
        </w:rPr>
        <w:t>., 2007).</w:t>
      </w:r>
    </w:p>
    <w:p w:rsidR="00FF01B6" w:rsidRPr="00390ABA" w:rsidRDefault="00544103" w:rsidP="00FF01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ABA">
        <w:rPr>
          <w:rFonts w:ascii="Times New Roman" w:hAnsi="Times New Roman" w:cs="Times New Roman"/>
          <w:sz w:val="24"/>
          <w:szCs w:val="24"/>
        </w:rPr>
        <w:t xml:space="preserve">O monitor tende a funcionar como um elo entre professor e aluno, disposto a colaborar com o processo ensino-aprendizagem desse aluno. Por outro lado, o aluno que dispõe do auxílio de um monitor, deve apresentar-se como um indivíduo curioso que prima pela construção de seu conhecimento, aproveitando as oportunidades que surgem nas instituições educacionais. Entretanto, durante o desenvolvimento de programas de monitoria em universidades, alguns alunos negligenciam o suporte didático oferecido pelo monitor ou subutiliza-o </w:t>
      </w:r>
      <w:r w:rsidR="003D7323" w:rsidRPr="00390ABA">
        <w:rPr>
          <w:rFonts w:ascii="Times New Roman" w:hAnsi="Times New Roman" w:cs="Times New Roman"/>
          <w:sz w:val="24"/>
          <w:szCs w:val="24"/>
        </w:rPr>
        <w:t>dificultando o processo de aprendizagem</w:t>
      </w:r>
      <w:r w:rsidRPr="00390ABA">
        <w:rPr>
          <w:rFonts w:ascii="Times New Roman" w:hAnsi="Times New Roman" w:cs="Times New Roman"/>
          <w:sz w:val="24"/>
          <w:szCs w:val="24"/>
        </w:rPr>
        <w:t xml:space="preserve"> (SILVA e BELO, 2012).</w:t>
      </w:r>
    </w:p>
    <w:p w:rsidR="002553CA" w:rsidRPr="00390ABA" w:rsidRDefault="001E3661" w:rsidP="002553CA">
      <w:pPr>
        <w:pStyle w:val="v12j"/>
        <w:spacing w:before="0" w:beforeAutospacing="0" w:after="0" w:afterAutospacing="0" w:line="360" w:lineRule="auto"/>
        <w:ind w:firstLine="708"/>
        <w:jc w:val="both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1098550</wp:posOffset>
                </wp:positionV>
                <wp:extent cx="238125" cy="266700"/>
                <wp:effectExtent l="0" t="0" r="28575" b="19050"/>
                <wp:wrapNone/>
                <wp:docPr id="4" name="E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" o:spid="_x0000_s1026" style="position:absolute;margin-left:442.2pt;margin-top:86.5pt;width:18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  <w:r w:rsidR="002553CA" w:rsidRPr="00390ABA">
        <w:rPr>
          <w:szCs w:val="20"/>
        </w:rPr>
        <w:t>É de extrema importância o exercício de monitoria justificado pela exigência da disciplina em oferecer um curso que proporcione aos futuros Nutricionistas a condição básica de reconhecimento de uma doença transmitidas por um patógeno, veiculado pelo alimento, bem como os sintomas desencadeados, e ainda desenvolver e aprimorar os métodos e técnicas de identificação da qualidade microbiológica do alimento. Tornando-se importante não só apenas no âmbito acadêmico para o curso de Nutrição, mas também para a comunidade em geral como consumidores de tais alimentos.</w:t>
      </w:r>
      <w:r w:rsidR="001E31EB" w:rsidRPr="00390ABA">
        <w:rPr>
          <w:szCs w:val="20"/>
        </w:rPr>
        <w:t xml:space="preserve"> </w:t>
      </w:r>
    </w:p>
    <w:p w:rsidR="0078605F" w:rsidRPr="00390ABA" w:rsidRDefault="000675EF" w:rsidP="00F20A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ABA">
        <w:rPr>
          <w:rFonts w:ascii="Times New Roman" w:hAnsi="Times New Roman" w:cs="Times New Roman"/>
          <w:sz w:val="24"/>
          <w:szCs w:val="24"/>
        </w:rPr>
        <w:t>A monitoria apresenta como objetivos p</w:t>
      </w:r>
      <w:r w:rsidR="0078605F" w:rsidRPr="00390ABA">
        <w:rPr>
          <w:rFonts w:ascii="Times New Roman" w:hAnsi="Times New Roman" w:cs="Times New Roman"/>
          <w:sz w:val="24"/>
          <w:szCs w:val="24"/>
        </w:rPr>
        <w:t>ossibilitar o início da experiência pedagó</w:t>
      </w:r>
      <w:r w:rsidRPr="00390ABA">
        <w:rPr>
          <w:rFonts w:ascii="Times New Roman" w:hAnsi="Times New Roman" w:cs="Times New Roman"/>
          <w:sz w:val="24"/>
          <w:szCs w:val="24"/>
        </w:rPr>
        <w:t>gica para os alunos monitores</w:t>
      </w:r>
      <w:r w:rsidR="00334265" w:rsidRPr="00390ABA">
        <w:rPr>
          <w:rFonts w:ascii="Times New Roman" w:hAnsi="Times New Roman" w:cs="Times New Roman"/>
          <w:sz w:val="24"/>
          <w:szCs w:val="24"/>
        </w:rPr>
        <w:t xml:space="preserve">, propiciando </w:t>
      </w:r>
      <w:r w:rsidR="006516A2" w:rsidRPr="00390ABA">
        <w:rPr>
          <w:rFonts w:ascii="Times New Roman" w:hAnsi="Times New Roman" w:cs="Times New Roman"/>
          <w:sz w:val="24"/>
          <w:szCs w:val="24"/>
        </w:rPr>
        <w:t>ao monitor um maior contato</w:t>
      </w:r>
      <w:r w:rsidR="00334265" w:rsidRPr="00390ABA">
        <w:rPr>
          <w:rFonts w:ascii="Times New Roman" w:hAnsi="Times New Roman" w:cs="Times New Roman"/>
          <w:sz w:val="24"/>
          <w:szCs w:val="24"/>
        </w:rPr>
        <w:t xml:space="preserve"> com a experiência do professor, aprofundando seu conhecimento acerca dos assuntos abordados na disciplina,</w:t>
      </w:r>
      <w:r w:rsidR="00592F63" w:rsidRPr="00390ABA">
        <w:rPr>
          <w:rFonts w:ascii="Times New Roman" w:hAnsi="Times New Roman" w:cs="Times New Roman"/>
          <w:sz w:val="24"/>
          <w:szCs w:val="24"/>
        </w:rPr>
        <w:t xml:space="preserve"> </w:t>
      </w:r>
      <w:r w:rsidRPr="00390ABA">
        <w:rPr>
          <w:rFonts w:ascii="Times New Roman" w:hAnsi="Times New Roman" w:cs="Times New Roman"/>
          <w:sz w:val="24"/>
          <w:szCs w:val="24"/>
        </w:rPr>
        <w:t>estimulá-los</w:t>
      </w:r>
      <w:r w:rsidR="0078605F" w:rsidRPr="00390ABA">
        <w:rPr>
          <w:rFonts w:ascii="Times New Roman" w:hAnsi="Times New Roman" w:cs="Times New Roman"/>
          <w:sz w:val="24"/>
          <w:szCs w:val="24"/>
        </w:rPr>
        <w:t xml:space="preserve"> para a prática de ensino e </w:t>
      </w:r>
      <w:r w:rsidR="006516A2" w:rsidRPr="00390ABA">
        <w:rPr>
          <w:rFonts w:ascii="Times New Roman" w:hAnsi="Times New Roman" w:cs="Times New Roman"/>
          <w:sz w:val="24"/>
          <w:szCs w:val="24"/>
        </w:rPr>
        <w:t>d</w:t>
      </w:r>
      <w:r w:rsidR="00592F63" w:rsidRPr="00390ABA">
        <w:rPr>
          <w:rFonts w:ascii="Times New Roman" w:hAnsi="Times New Roman" w:cs="Times New Roman"/>
          <w:sz w:val="24"/>
          <w:szCs w:val="24"/>
        </w:rPr>
        <w:t>e pesquisa,</w:t>
      </w:r>
      <w:r w:rsidR="006516A2" w:rsidRPr="00390ABA">
        <w:rPr>
          <w:rFonts w:ascii="Times New Roman" w:hAnsi="Times New Roman" w:cs="Times New Roman"/>
          <w:sz w:val="24"/>
          <w:szCs w:val="24"/>
        </w:rPr>
        <w:t xml:space="preserve"> auxiliar o professor na ministração de aulas práticas e na correção de trabalhos e listas de exercícios, que são fundamentais para o aprendizado e a avaliação do desempenho dos alunos</w:t>
      </w:r>
      <w:r w:rsidR="00B87D45" w:rsidRPr="00390ABA">
        <w:rPr>
          <w:rFonts w:ascii="Times New Roman" w:hAnsi="Times New Roman" w:cs="Times New Roman"/>
          <w:sz w:val="24"/>
          <w:szCs w:val="24"/>
        </w:rPr>
        <w:t xml:space="preserve"> e o</w:t>
      </w:r>
      <w:r w:rsidR="0078605F" w:rsidRPr="00390ABA">
        <w:rPr>
          <w:rFonts w:ascii="Times New Roman" w:hAnsi="Times New Roman" w:cs="Times New Roman"/>
          <w:sz w:val="24"/>
          <w:szCs w:val="24"/>
        </w:rPr>
        <w:t xml:space="preserve">ferecer acompanhamento </w:t>
      </w:r>
      <w:r w:rsidR="00862010" w:rsidRPr="00390ABA">
        <w:rPr>
          <w:rFonts w:ascii="Times New Roman" w:hAnsi="Times New Roman" w:cs="Times New Roman"/>
          <w:sz w:val="24"/>
          <w:szCs w:val="24"/>
        </w:rPr>
        <w:t xml:space="preserve">e assistência </w:t>
      </w:r>
      <w:r w:rsidR="0078605F" w:rsidRPr="00390ABA">
        <w:rPr>
          <w:rFonts w:ascii="Times New Roman" w:hAnsi="Times New Roman" w:cs="Times New Roman"/>
          <w:sz w:val="24"/>
          <w:szCs w:val="24"/>
        </w:rPr>
        <w:t>para</w:t>
      </w:r>
      <w:r w:rsidR="00862010" w:rsidRPr="00390ABA">
        <w:rPr>
          <w:rFonts w:ascii="Times New Roman" w:hAnsi="Times New Roman" w:cs="Times New Roman"/>
          <w:sz w:val="24"/>
          <w:szCs w:val="24"/>
        </w:rPr>
        <w:t xml:space="preserve"> os</w:t>
      </w:r>
      <w:r w:rsidR="0078605F" w:rsidRPr="00390ABA">
        <w:rPr>
          <w:rFonts w:ascii="Times New Roman" w:hAnsi="Times New Roman" w:cs="Times New Roman"/>
          <w:sz w:val="24"/>
          <w:szCs w:val="24"/>
        </w:rPr>
        <w:t xml:space="preserve"> alunos</w:t>
      </w:r>
      <w:r w:rsidR="003B65CA" w:rsidRPr="00390ABA">
        <w:rPr>
          <w:rFonts w:ascii="Times New Roman" w:hAnsi="Times New Roman" w:cs="Times New Roman"/>
          <w:sz w:val="24"/>
          <w:szCs w:val="24"/>
        </w:rPr>
        <w:t xml:space="preserve">, </w:t>
      </w:r>
      <w:r w:rsidR="00862010" w:rsidRPr="00390ABA">
        <w:rPr>
          <w:rFonts w:ascii="Times New Roman" w:hAnsi="Times New Roman" w:cs="Times New Roman"/>
          <w:sz w:val="24"/>
          <w:szCs w:val="24"/>
        </w:rPr>
        <w:t xml:space="preserve">melhorando </w:t>
      </w:r>
      <w:r w:rsidR="00B87D45" w:rsidRPr="00390ABA">
        <w:rPr>
          <w:rFonts w:ascii="Times New Roman" w:hAnsi="Times New Roman" w:cs="Times New Roman"/>
          <w:sz w:val="24"/>
          <w:szCs w:val="24"/>
        </w:rPr>
        <w:t>o aproveitamento n</w:t>
      </w:r>
      <w:r w:rsidR="00592F63" w:rsidRPr="00390ABA">
        <w:rPr>
          <w:rFonts w:ascii="Times New Roman" w:hAnsi="Times New Roman" w:cs="Times New Roman"/>
          <w:sz w:val="24"/>
          <w:szCs w:val="24"/>
        </w:rPr>
        <w:t>a disciplina e a diminuição</w:t>
      </w:r>
      <w:r w:rsidR="00862010" w:rsidRPr="00390ABA">
        <w:rPr>
          <w:rFonts w:ascii="Times New Roman" w:hAnsi="Times New Roman" w:cs="Times New Roman"/>
          <w:sz w:val="24"/>
          <w:szCs w:val="24"/>
        </w:rPr>
        <w:t xml:space="preserve"> </w:t>
      </w:r>
      <w:r w:rsidR="00592F63" w:rsidRPr="00390ABA">
        <w:rPr>
          <w:rFonts w:ascii="Times New Roman" w:hAnsi="Times New Roman" w:cs="Times New Roman"/>
          <w:sz w:val="24"/>
          <w:szCs w:val="24"/>
        </w:rPr>
        <w:t>d</w:t>
      </w:r>
      <w:r w:rsidR="00862010" w:rsidRPr="00390ABA">
        <w:rPr>
          <w:rFonts w:ascii="Times New Roman" w:hAnsi="Times New Roman" w:cs="Times New Roman"/>
          <w:sz w:val="24"/>
          <w:szCs w:val="24"/>
        </w:rPr>
        <w:t xml:space="preserve">os </w:t>
      </w:r>
      <w:r w:rsidR="00862010" w:rsidRPr="00390ABA">
        <w:rPr>
          <w:rFonts w:ascii="Times New Roman" w:hAnsi="Times New Roman" w:cs="Times New Roman"/>
          <w:sz w:val="24"/>
          <w:szCs w:val="24"/>
        </w:rPr>
        <w:lastRenderedPageBreak/>
        <w:t xml:space="preserve">índices de reprovação, </w:t>
      </w:r>
      <w:r w:rsidR="00784530" w:rsidRPr="00390ABA">
        <w:rPr>
          <w:rFonts w:ascii="Times New Roman" w:hAnsi="Times New Roman" w:cs="Times New Roman"/>
          <w:sz w:val="24"/>
          <w:szCs w:val="24"/>
        </w:rPr>
        <w:t xml:space="preserve">promovendo tanto o nivelamento necessário para alunos com dificuldade, quanto o aperfeiçoamento </w:t>
      </w:r>
      <w:r w:rsidR="006F738C" w:rsidRPr="00390ABA">
        <w:rPr>
          <w:rFonts w:ascii="Times New Roman" w:hAnsi="Times New Roman" w:cs="Times New Roman"/>
          <w:sz w:val="24"/>
          <w:szCs w:val="24"/>
        </w:rPr>
        <w:t>dos assuntos</w:t>
      </w:r>
      <w:r w:rsidR="00784530" w:rsidRPr="00390ABA">
        <w:rPr>
          <w:rFonts w:ascii="Times New Roman" w:hAnsi="Times New Roman" w:cs="Times New Roman"/>
          <w:sz w:val="24"/>
          <w:szCs w:val="24"/>
        </w:rPr>
        <w:t xml:space="preserve"> vistos na sala de aula</w:t>
      </w:r>
      <w:r w:rsidR="00592F63" w:rsidRPr="00390ABA">
        <w:rPr>
          <w:rFonts w:ascii="Times New Roman" w:hAnsi="Times New Roman" w:cs="Times New Roman"/>
          <w:sz w:val="24"/>
          <w:szCs w:val="24"/>
        </w:rPr>
        <w:t xml:space="preserve">. Tais objetivos são alçados </w:t>
      </w:r>
      <w:r w:rsidR="005D4877" w:rsidRPr="00390ABA">
        <w:rPr>
          <w:rFonts w:ascii="Times New Roman" w:hAnsi="Times New Roman" w:cs="Times New Roman"/>
          <w:sz w:val="24"/>
          <w:szCs w:val="24"/>
        </w:rPr>
        <w:t>para o</w:t>
      </w:r>
      <w:r w:rsidR="002A77B6" w:rsidRPr="00390ABA">
        <w:rPr>
          <w:rFonts w:ascii="Times New Roman" w:hAnsi="Times New Roman" w:cs="Times New Roman"/>
          <w:sz w:val="24"/>
          <w:szCs w:val="24"/>
        </w:rPr>
        <w:t xml:space="preserve"> auxílio do </w:t>
      </w:r>
      <w:r w:rsidR="00592F63" w:rsidRPr="00390ABA">
        <w:rPr>
          <w:rFonts w:ascii="Times New Roman" w:hAnsi="Times New Roman" w:cs="Times New Roman"/>
          <w:sz w:val="24"/>
          <w:szCs w:val="24"/>
        </w:rPr>
        <w:t>processo de ensino-aprendizagem</w:t>
      </w:r>
      <w:r w:rsidR="005D4877" w:rsidRPr="00390ABA">
        <w:rPr>
          <w:rFonts w:ascii="Times New Roman" w:hAnsi="Times New Roman" w:cs="Times New Roman"/>
          <w:sz w:val="24"/>
          <w:szCs w:val="24"/>
        </w:rPr>
        <w:t xml:space="preserve"> de alunos e alunos monitores</w:t>
      </w:r>
      <w:r w:rsidR="00592F63" w:rsidRPr="00390ABA">
        <w:rPr>
          <w:rFonts w:ascii="Times New Roman" w:hAnsi="Times New Roman" w:cs="Times New Roman"/>
          <w:sz w:val="24"/>
          <w:szCs w:val="24"/>
        </w:rPr>
        <w:t>.</w:t>
      </w:r>
    </w:p>
    <w:p w:rsidR="0078605F" w:rsidRPr="00390ABA" w:rsidRDefault="0078605F" w:rsidP="00F20A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3AE" w:rsidRPr="00390ABA" w:rsidRDefault="0067135A" w:rsidP="00F20A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ABA"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:rsidR="00F20A44" w:rsidRPr="00390ABA" w:rsidRDefault="00F20A44" w:rsidP="00F20A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318" w:rsidRDefault="005F33AE" w:rsidP="00F20A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ABA">
        <w:rPr>
          <w:rFonts w:ascii="Times New Roman" w:hAnsi="Times New Roman" w:cs="Times New Roman"/>
          <w:sz w:val="24"/>
          <w:szCs w:val="24"/>
        </w:rPr>
        <w:t xml:space="preserve">Este </w:t>
      </w:r>
      <w:r w:rsidR="005A0318">
        <w:rPr>
          <w:rFonts w:ascii="Times New Roman" w:hAnsi="Times New Roman" w:cs="Times New Roman"/>
          <w:sz w:val="24"/>
          <w:szCs w:val="24"/>
        </w:rPr>
        <w:t>trabalho resultou</w:t>
      </w:r>
      <w:r w:rsidR="009F2604" w:rsidRPr="00390ABA">
        <w:rPr>
          <w:rFonts w:ascii="Times New Roman" w:hAnsi="Times New Roman" w:cs="Times New Roman"/>
          <w:sz w:val="24"/>
          <w:szCs w:val="24"/>
        </w:rPr>
        <w:t xml:space="preserve"> das atividades </w:t>
      </w:r>
      <w:r w:rsidRPr="00390ABA">
        <w:rPr>
          <w:rFonts w:ascii="Times New Roman" w:hAnsi="Times New Roman" w:cs="Times New Roman"/>
          <w:sz w:val="24"/>
          <w:szCs w:val="24"/>
        </w:rPr>
        <w:t>desenvolvid</w:t>
      </w:r>
      <w:r w:rsidR="005D728F" w:rsidRPr="00390ABA">
        <w:rPr>
          <w:rFonts w:ascii="Times New Roman" w:hAnsi="Times New Roman" w:cs="Times New Roman"/>
          <w:sz w:val="24"/>
          <w:szCs w:val="24"/>
        </w:rPr>
        <w:t xml:space="preserve">as </w:t>
      </w:r>
      <w:r w:rsidR="009F2604" w:rsidRPr="00390ABA">
        <w:rPr>
          <w:rFonts w:ascii="Times New Roman" w:hAnsi="Times New Roman" w:cs="Times New Roman"/>
          <w:sz w:val="24"/>
          <w:szCs w:val="24"/>
        </w:rPr>
        <w:t xml:space="preserve">durante </w:t>
      </w:r>
      <w:r w:rsidR="005D728F" w:rsidRPr="00390ABA">
        <w:rPr>
          <w:rFonts w:ascii="Times New Roman" w:hAnsi="Times New Roman" w:cs="Times New Roman"/>
          <w:sz w:val="24"/>
          <w:szCs w:val="24"/>
        </w:rPr>
        <w:t>a monitoria da disciplina</w:t>
      </w:r>
      <w:r w:rsidRPr="00390ABA">
        <w:rPr>
          <w:rFonts w:ascii="Times New Roman" w:hAnsi="Times New Roman" w:cs="Times New Roman"/>
          <w:sz w:val="24"/>
          <w:szCs w:val="24"/>
        </w:rPr>
        <w:t xml:space="preserve"> Microbiologia dos alimentos do </w:t>
      </w:r>
      <w:r w:rsidR="005A0318">
        <w:rPr>
          <w:rFonts w:ascii="Times New Roman" w:hAnsi="Times New Roman" w:cs="Times New Roman"/>
          <w:sz w:val="24"/>
          <w:szCs w:val="24"/>
        </w:rPr>
        <w:t>C</w:t>
      </w:r>
      <w:r w:rsidR="005D728F" w:rsidRPr="00390ABA">
        <w:rPr>
          <w:rFonts w:ascii="Times New Roman" w:hAnsi="Times New Roman" w:cs="Times New Roman"/>
          <w:sz w:val="24"/>
          <w:szCs w:val="24"/>
        </w:rPr>
        <w:t xml:space="preserve">urso de </w:t>
      </w:r>
      <w:r w:rsidR="005A0318">
        <w:rPr>
          <w:rFonts w:ascii="Times New Roman" w:hAnsi="Times New Roman" w:cs="Times New Roman"/>
          <w:sz w:val="24"/>
          <w:szCs w:val="24"/>
        </w:rPr>
        <w:t>G</w:t>
      </w:r>
      <w:r w:rsidR="005D728F" w:rsidRPr="00390ABA">
        <w:rPr>
          <w:rFonts w:ascii="Times New Roman" w:hAnsi="Times New Roman" w:cs="Times New Roman"/>
          <w:sz w:val="24"/>
          <w:szCs w:val="24"/>
        </w:rPr>
        <w:t>raduação em Nutrição,</w:t>
      </w:r>
      <w:r w:rsidR="009F2604" w:rsidRPr="00390ABA">
        <w:rPr>
          <w:rFonts w:ascii="Times New Roman" w:hAnsi="Times New Roman" w:cs="Times New Roman"/>
          <w:sz w:val="24"/>
          <w:szCs w:val="24"/>
        </w:rPr>
        <w:t xml:space="preserve"> realizadas </w:t>
      </w:r>
      <w:r w:rsidR="009F2604" w:rsidRPr="00390ABA">
        <w:rPr>
          <w:rFonts w:ascii="Times New Roman" w:hAnsi="Times New Roman" w:cs="Times New Roman"/>
          <w:sz w:val="24"/>
          <w:szCs w:val="20"/>
        </w:rPr>
        <w:t xml:space="preserve">no Laboratório de Microbiologia </w:t>
      </w:r>
      <w:r w:rsidR="005A0318">
        <w:rPr>
          <w:rFonts w:ascii="Times New Roman" w:hAnsi="Times New Roman" w:cs="Times New Roman"/>
          <w:sz w:val="24"/>
          <w:szCs w:val="20"/>
        </w:rPr>
        <w:t>e Bioquímica dos Alimentos do Departamento de Nutrição</w:t>
      </w:r>
      <w:r w:rsidR="009F2604" w:rsidRPr="00390ABA">
        <w:rPr>
          <w:rFonts w:ascii="Times New Roman" w:hAnsi="Times New Roman" w:cs="Times New Roman"/>
          <w:sz w:val="24"/>
          <w:szCs w:val="20"/>
        </w:rPr>
        <w:t xml:space="preserve"> do Centro de Ciências da Saúde, </w:t>
      </w:r>
      <w:r w:rsidR="005D728F" w:rsidRPr="00390ABA">
        <w:rPr>
          <w:rFonts w:ascii="Times New Roman" w:hAnsi="Times New Roman" w:cs="Times New Roman"/>
          <w:sz w:val="24"/>
          <w:szCs w:val="24"/>
        </w:rPr>
        <w:t>Universidad</w:t>
      </w:r>
      <w:r w:rsidR="009F2604" w:rsidRPr="00390ABA">
        <w:rPr>
          <w:rFonts w:ascii="Times New Roman" w:hAnsi="Times New Roman" w:cs="Times New Roman"/>
          <w:sz w:val="24"/>
          <w:szCs w:val="24"/>
        </w:rPr>
        <w:t xml:space="preserve">e Federal da Paraíba, </w:t>
      </w:r>
      <w:r w:rsidR="005A0318" w:rsidRPr="00390ABA">
        <w:rPr>
          <w:rFonts w:ascii="Times New Roman" w:hAnsi="Times New Roman" w:cs="Times New Roman"/>
          <w:sz w:val="24"/>
          <w:szCs w:val="20"/>
        </w:rPr>
        <w:t>Campus I</w:t>
      </w:r>
      <w:r w:rsidR="005A0318">
        <w:rPr>
          <w:rFonts w:ascii="Times New Roman" w:hAnsi="Times New Roman" w:cs="Times New Roman"/>
          <w:sz w:val="24"/>
          <w:szCs w:val="20"/>
        </w:rPr>
        <w:t>,</w:t>
      </w:r>
      <w:r w:rsidR="005A0318" w:rsidRPr="00390ABA">
        <w:rPr>
          <w:rFonts w:ascii="Times New Roman" w:hAnsi="Times New Roman" w:cs="Times New Roman"/>
          <w:sz w:val="24"/>
          <w:szCs w:val="24"/>
        </w:rPr>
        <w:t xml:space="preserve"> </w:t>
      </w:r>
      <w:r w:rsidR="009F2604" w:rsidRPr="00390ABA">
        <w:rPr>
          <w:rFonts w:ascii="Times New Roman" w:hAnsi="Times New Roman" w:cs="Times New Roman"/>
          <w:sz w:val="24"/>
          <w:szCs w:val="24"/>
        </w:rPr>
        <w:t>João Pessoa</w:t>
      </w:r>
      <w:r w:rsidR="005D728F" w:rsidRPr="00390ABA">
        <w:rPr>
          <w:rFonts w:ascii="Times New Roman" w:hAnsi="Times New Roman" w:cs="Times New Roman"/>
          <w:sz w:val="24"/>
          <w:szCs w:val="24"/>
        </w:rPr>
        <w:t xml:space="preserve">, </w:t>
      </w:r>
      <w:r w:rsidR="005A0318">
        <w:rPr>
          <w:rFonts w:ascii="Times New Roman" w:hAnsi="Times New Roman" w:cs="Times New Roman"/>
          <w:sz w:val="24"/>
          <w:szCs w:val="24"/>
        </w:rPr>
        <w:t>n</w:t>
      </w:r>
      <w:r w:rsidR="005D728F" w:rsidRPr="00390ABA">
        <w:rPr>
          <w:rFonts w:ascii="Times New Roman" w:hAnsi="Times New Roman" w:cs="Times New Roman"/>
          <w:sz w:val="24"/>
          <w:szCs w:val="24"/>
        </w:rPr>
        <w:t>o período letivo</w:t>
      </w:r>
      <w:r w:rsidRPr="00390ABA">
        <w:rPr>
          <w:rFonts w:ascii="Times New Roman" w:hAnsi="Times New Roman" w:cs="Times New Roman"/>
          <w:sz w:val="24"/>
          <w:szCs w:val="24"/>
        </w:rPr>
        <w:t xml:space="preserve"> 2011.2 e 2012.1</w:t>
      </w:r>
      <w:r w:rsidR="005D728F" w:rsidRPr="00390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1AC" w:rsidRDefault="00DE3545" w:rsidP="009F2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ABA">
        <w:rPr>
          <w:rFonts w:ascii="Times New Roman" w:hAnsi="Times New Roman" w:cs="Times New Roman"/>
          <w:sz w:val="24"/>
          <w:szCs w:val="24"/>
        </w:rPr>
        <w:t>A disciplin</w:t>
      </w:r>
      <w:r w:rsidR="005A0318">
        <w:rPr>
          <w:rFonts w:ascii="Times New Roman" w:hAnsi="Times New Roman" w:cs="Times New Roman"/>
          <w:sz w:val="24"/>
          <w:szCs w:val="24"/>
        </w:rPr>
        <w:t>a apresenta uma carga horaria 075 horas semanais</w:t>
      </w:r>
      <w:r w:rsidR="00F20A44" w:rsidRPr="00390ABA">
        <w:rPr>
          <w:rFonts w:ascii="Times New Roman" w:hAnsi="Times New Roman" w:cs="Times New Roman"/>
          <w:sz w:val="24"/>
          <w:szCs w:val="24"/>
        </w:rPr>
        <w:t>, das quais</w:t>
      </w:r>
      <w:r w:rsidR="005A0318">
        <w:rPr>
          <w:rFonts w:ascii="Times New Roman" w:hAnsi="Times New Roman" w:cs="Times New Roman"/>
          <w:sz w:val="24"/>
          <w:szCs w:val="24"/>
        </w:rPr>
        <w:t xml:space="preserve"> 30</w:t>
      </w:r>
      <w:r w:rsidR="00BC51AC">
        <w:rPr>
          <w:rFonts w:ascii="Times New Roman" w:hAnsi="Times New Roman" w:cs="Times New Roman"/>
          <w:sz w:val="24"/>
          <w:szCs w:val="24"/>
        </w:rPr>
        <w:t xml:space="preserve"> (40 %)</w:t>
      </w:r>
      <w:r w:rsidR="005A0318">
        <w:rPr>
          <w:rFonts w:ascii="Times New Roman" w:hAnsi="Times New Roman" w:cs="Times New Roman"/>
          <w:sz w:val="24"/>
          <w:szCs w:val="24"/>
        </w:rPr>
        <w:t xml:space="preserve"> horas</w:t>
      </w:r>
      <w:r w:rsidR="00BC51AC">
        <w:rPr>
          <w:rFonts w:ascii="Times New Roman" w:hAnsi="Times New Roman" w:cs="Times New Roman"/>
          <w:sz w:val="24"/>
          <w:szCs w:val="24"/>
        </w:rPr>
        <w:t xml:space="preserve"> são dedicadas ao estudo prático </w:t>
      </w:r>
      <w:r w:rsidR="00203B75">
        <w:rPr>
          <w:rFonts w:ascii="Times New Roman" w:hAnsi="Times New Roman" w:cs="Times New Roman"/>
          <w:sz w:val="24"/>
          <w:szCs w:val="24"/>
        </w:rPr>
        <w:t xml:space="preserve">e 45 </w:t>
      </w:r>
      <w:r w:rsidR="00BC51AC">
        <w:rPr>
          <w:rFonts w:ascii="Times New Roman" w:hAnsi="Times New Roman" w:cs="Times New Roman"/>
          <w:sz w:val="24"/>
          <w:szCs w:val="24"/>
        </w:rPr>
        <w:t xml:space="preserve">(60 %) </w:t>
      </w:r>
      <w:r w:rsidR="00203B75">
        <w:rPr>
          <w:rFonts w:ascii="Times New Roman" w:hAnsi="Times New Roman" w:cs="Times New Roman"/>
          <w:sz w:val="24"/>
          <w:szCs w:val="24"/>
        </w:rPr>
        <w:t>horas</w:t>
      </w:r>
      <w:r w:rsidR="00F20A44" w:rsidRPr="00390ABA">
        <w:rPr>
          <w:rFonts w:ascii="Times New Roman" w:hAnsi="Times New Roman" w:cs="Times New Roman"/>
          <w:sz w:val="24"/>
          <w:szCs w:val="24"/>
        </w:rPr>
        <w:t xml:space="preserve"> </w:t>
      </w:r>
      <w:r w:rsidR="001F704E" w:rsidRPr="00390ABA">
        <w:rPr>
          <w:rFonts w:ascii="Times New Roman" w:hAnsi="Times New Roman" w:cs="Times New Roman"/>
          <w:sz w:val="24"/>
          <w:szCs w:val="24"/>
        </w:rPr>
        <w:t>ao aprendizado teórico.</w:t>
      </w:r>
      <w:r w:rsidR="00BC51AC">
        <w:rPr>
          <w:rFonts w:ascii="Times New Roman" w:hAnsi="Times New Roman" w:cs="Times New Roman"/>
          <w:sz w:val="24"/>
          <w:szCs w:val="24"/>
        </w:rPr>
        <w:t xml:space="preserve"> Com esse delineamento, a </w:t>
      </w:r>
      <w:r w:rsidR="00203B75">
        <w:rPr>
          <w:rFonts w:ascii="Times New Roman" w:hAnsi="Times New Roman" w:cs="Times New Roman"/>
          <w:sz w:val="24"/>
          <w:szCs w:val="24"/>
        </w:rPr>
        <w:t xml:space="preserve">microbiologia dos alimentos é </w:t>
      </w:r>
      <w:r w:rsidR="005D728F" w:rsidRPr="00390ABA">
        <w:rPr>
          <w:rFonts w:ascii="Times New Roman" w:hAnsi="Times New Roman" w:cs="Times New Roman"/>
          <w:sz w:val="24"/>
          <w:szCs w:val="24"/>
        </w:rPr>
        <w:t>uma disciplina</w:t>
      </w:r>
      <w:r w:rsidR="00203B75">
        <w:rPr>
          <w:rFonts w:ascii="Times New Roman" w:hAnsi="Times New Roman" w:cs="Times New Roman"/>
          <w:sz w:val="24"/>
          <w:szCs w:val="24"/>
        </w:rPr>
        <w:t xml:space="preserve"> curricular</w:t>
      </w:r>
      <w:r w:rsidR="005D728F" w:rsidRPr="00390ABA">
        <w:rPr>
          <w:rFonts w:ascii="Times New Roman" w:hAnsi="Times New Roman" w:cs="Times New Roman"/>
          <w:sz w:val="24"/>
          <w:szCs w:val="24"/>
        </w:rPr>
        <w:t xml:space="preserve"> obrigatória</w:t>
      </w:r>
      <w:r w:rsidR="00203B75">
        <w:rPr>
          <w:rFonts w:ascii="Times New Roman" w:hAnsi="Times New Roman" w:cs="Times New Roman"/>
          <w:sz w:val="24"/>
          <w:szCs w:val="24"/>
        </w:rPr>
        <w:t xml:space="preserve"> </w:t>
      </w:r>
      <w:r w:rsidR="00BC51AC">
        <w:rPr>
          <w:rFonts w:ascii="Times New Roman" w:hAnsi="Times New Roman" w:cs="Times New Roman"/>
          <w:sz w:val="24"/>
          <w:szCs w:val="24"/>
        </w:rPr>
        <w:t>que prioriza o ensino participativo, que se concretiza mediante a relação professor-aluno-monitor.</w:t>
      </w:r>
    </w:p>
    <w:p w:rsidR="00040444" w:rsidRPr="00390ABA" w:rsidRDefault="00BC51AC" w:rsidP="009F2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No estudo prático-teorico professor e monitor(as) </w:t>
      </w:r>
      <w:r w:rsidR="00F25995">
        <w:rPr>
          <w:rFonts w:ascii="Times New Roman" w:hAnsi="Times New Roman" w:cs="Times New Roman"/>
          <w:sz w:val="24"/>
          <w:szCs w:val="20"/>
        </w:rPr>
        <w:t xml:space="preserve">partilham </w:t>
      </w:r>
      <w:r>
        <w:rPr>
          <w:rFonts w:ascii="Times New Roman" w:hAnsi="Times New Roman" w:cs="Times New Roman"/>
          <w:sz w:val="24"/>
          <w:szCs w:val="20"/>
        </w:rPr>
        <w:t xml:space="preserve">o mesmo objetivo: </w:t>
      </w:r>
      <w:r w:rsidR="005D728F" w:rsidRPr="00390ABA">
        <w:rPr>
          <w:rFonts w:ascii="Times New Roman" w:hAnsi="Times New Roman" w:cs="Times New Roman"/>
          <w:sz w:val="24"/>
          <w:szCs w:val="20"/>
        </w:rPr>
        <w:t>habilitar o</w:t>
      </w:r>
      <w:r w:rsidR="00203B75">
        <w:rPr>
          <w:rFonts w:ascii="Times New Roman" w:hAnsi="Times New Roman" w:cs="Times New Roman"/>
          <w:sz w:val="24"/>
          <w:szCs w:val="20"/>
        </w:rPr>
        <w:t xml:space="preserve"> alunado</w:t>
      </w:r>
      <w:r w:rsidR="005D728F" w:rsidRPr="00390ABA">
        <w:rPr>
          <w:rFonts w:ascii="Times New Roman" w:hAnsi="Times New Roman" w:cs="Times New Roman"/>
          <w:sz w:val="24"/>
          <w:szCs w:val="20"/>
        </w:rPr>
        <w:t xml:space="preserve"> </w:t>
      </w:r>
      <w:r w:rsidR="00F25995">
        <w:rPr>
          <w:rFonts w:ascii="Times New Roman" w:hAnsi="Times New Roman" w:cs="Times New Roman"/>
          <w:sz w:val="24"/>
          <w:szCs w:val="20"/>
        </w:rPr>
        <w:t>à</w:t>
      </w:r>
      <w:r w:rsidR="00203B75">
        <w:rPr>
          <w:rFonts w:ascii="Times New Roman" w:hAnsi="Times New Roman" w:cs="Times New Roman"/>
          <w:sz w:val="24"/>
          <w:szCs w:val="20"/>
        </w:rPr>
        <w:t xml:space="preserve"> </w:t>
      </w:r>
      <w:r w:rsidR="005D728F" w:rsidRPr="00390ABA">
        <w:rPr>
          <w:rFonts w:ascii="Times New Roman" w:hAnsi="Times New Roman" w:cs="Times New Roman"/>
          <w:sz w:val="24"/>
          <w:szCs w:val="20"/>
        </w:rPr>
        <w:t>conhecer, analisar</w:t>
      </w:r>
      <w:r>
        <w:rPr>
          <w:rFonts w:ascii="Times New Roman" w:hAnsi="Times New Roman" w:cs="Times New Roman"/>
          <w:sz w:val="24"/>
          <w:szCs w:val="20"/>
        </w:rPr>
        <w:t>,</w:t>
      </w:r>
      <w:r w:rsidR="005D728F" w:rsidRPr="00390ABA">
        <w:rPr>
          <w:rFonts w:ascii="Times New Roman" w:hAnsi="Times New Roman" w:cs="Times New Roman"/>
          <w:sz w:val="24"/>
          <w:szCs w:val="20"/>
        </w:rPr>
        <w:t xml:space="preserve"> executar </w:t>
      </w:r>
      <w:r>
        <w:rPr>
          <w:rFonts w:ascii="Times New Roman" w:hAnsi="Times New Roman" w:cs="Times New Roman"/>
          <w:sz w:val="24"/>
          <w:szCs w:val="20"/>
        </w:rPr>
        <w:t xml:space="preserve">e interpretar </w:t>
      </w:r>
      <w:r w:rsidR="005D728F" w:rsidRPr="00390ABA">
        <w:rPr>
          <w:rFonts w:ascii="Times New Roman" w:hAnsi="Times New Roman" w:cs="Times New Roman"/>
          <w:sz w:val="24"/>
          <w:szCs w:val="20"/>
        </w:rPr>
        <w:t xml:space="preserve">os processos </w:t>
      </w:r>
      <w:r w:rsidR="00F25995">
        <w:rPr>
          <w:rFonts w:ascii="Times New Roman" w:hAnsi="Times New Roman" w:cs="Times New Roman"/>
          <w:sz w:val="24"/>
          <w:szCs w:val="20"/>
        </w:rPr>
        <w:t>inerentes a</w:t>
      </w:r>
      <w:r>
        <w:rPr>
          <w:rFonts w:ascii="Times New Roman" w:hAnsi="Times New Roman" w:cs="Times New Roman"/>
          <w:sz w:val="24"/>
          <w:szCs w:val="20"/>
        </w:rPr>
        <w:t xml:space="preserve">o escopo da </w:t>
      </w:r>
      <w:r w:rsidR="005D728F" w:rsidRPr="00390ABA">
        <w:rPr>
          <w:rFonts w:ascii="Times New Roman" w:hAnsi="Times New Roman" w:cs="Times New Roman"/>
          <w:sz w:val="24"/>
          <w:szCs w:val="20"/>
        </w:rPr>
        <w:t>mic</w:t>
      </w:r>
      <w:r w:rsidR="001F704E" w:rsidRPr="00390ABA">
        <w:rPr>
          <w:rFonts w:ascii="Times New Roman" w:hAnsi="Times New Roman" w:cs="Times New Roman"/>
          <w:sz w:val="24"/>
          <w:szCs w:val="20"/>
        </w:rPr>
        <w:t>robiologia dos alimentos</w:t>
      </w:r>
      <w:r w:rsidR="00F25995">
        <w:rPr>
          <w:rFonts w:ascii="Times New Roman" w:hAnsi="Times New Roman" w:cs="Times New Roman"/>
          <w:sz w:val="24"/>
          <w:szCs w:val="20"/>
        </w:rPr>
        <w:t xml:space="preserve"> prática</w:t>
      </w:r>
      <w:r w:rsidR="001F704E" w:rsidRPr="00390ABA">
        <w:rPr>
          <w:rFonts w:ascii="Times New Roman" w:hAnsi="Times New Roman" w:cs="Times New Roman"/>
          <w:sz w:val="24"/>
          <w:szCs w:val="20"/>
        </w:rPr>
        <w:t>, abordando pontos como:</w:t>
      </w:r>
      <w:r w:rsidR="00D94D68" w:rsidRPr="00390ABA">
        <w:rPr>
          <w:rFonts w:ascii="Times New Roman" w:hAnsi="Times New Roman" w:cs="Times New Roman"/>
          <w:sz w:val="24"/>
          <w:szCs w:val="20"/>
        </w:rPr>
        <w:t xml:space="preserve"> metabolismo de bactérias, fungos e vírus; </w:t>
      </w:r>
      <w:r w:rsidR="00F25995">
        <w:rPr>
          <w:rFonts w:ascii="Times New Roman" w:hAnsi="Times New Roman" w:cs="Times New Roman"/>
          <w:sz w:val="24"/>
          <w:szCs w:val="20"/>
        </w:rPr>
        <w:t xml:space="preserve">e enquanto ciência aplicada, conduz o alunado a conhecer a importância qualidade dos alimentos como a  </w:t>
      </w:r>
      <w:r w:rsidR="00D94D68" w:rsidRPr="00390ABA">
        <w:rPr>
          <w:rFonts w:ascii="Times New Roman" w:hAnsi="Times New Roman" w:cs="Times New Roman"/>
          <w:sz w:val="24"/>
          <w:szCs w:val="20"/>
        </w:rPr>
        <w:t>microbiologia da água, de carnes, pescado e cereais</w:t>
      </w:r>
      <w:r w:rsidR="00040444" w:rsidRPr="00390ABA">
        <w:rPr>
          <w:rFonts w:ascii="Times New Roman" w:hAnsi="Times New Roman" w:cs="Times New Roman"/>
          <w:sz w:val="24"/>
          <w:szCs w:val="20"/>
        </w:rPr>
        <w:t>; e identificação de contaminação</w:t>
      </w:r>
      <w:r w:rsidR="00DD5B82" w:rsidRPr="00390ABA">
        <w:rPr>
          <w:rFonts w:ascii="Times New Roman" w:hAnsi="Times New Roman" w:cs="Times New Roman"/>
          <w:sz w:val="24"/>
          <w:szCs w:val="20"/>
        </w:rPr>
        <w:t xml:space="preserve"> do alimento</w:t>
      </w:r>
      <w:r w:rsidR="00040444" w:rsidRPr="00390ABA">
        <w:rPr>
          <w:rFonts w:ascii="Times New Roman" w:hAnsi="Times New Roman" w:cs="Times New Roman"/>
          <w:sz w:val="24"/>
          <w:szCs w:val="20"/>
        </w:rPr>
        <w:t xml:space="preserve">, </w:t>
      </w:r>
      <w:r w:rsidR="00F25995">
        <w:rPr>
          <w:rFonts w:ascii="Times New Roman" w:hAnsi="Times New Roman" w:cs="Times New Roman"/>
          <w:sz w:val="24"/>
          <w:szCs w:val="20"/>
        </w:rPr>
        <w:t xml:space="preserve">pela </w:t>
      </w:r>
      <w:r w:rsidR="00040444" w:rsidRPr="00390ABA">
        <w:rPr>
          <w:rFonts w:ascii="Times New Roman" w:hAnsi="Times New Roman" w:cs="Times New Roman"/>
          <w:sz w:val="24"/>
          <w:szCs w:val="20"/>
        </w:rPr>
        <w:t xml:space="preserve">técnicas de semeadura, contagem </w:t>
      </w:r>
      <w:r w:rsidR="00F25995">
        <w:rPr>
          <w:rFonts w:ascii="Times New Roman" w:hAnsi="Times New Roman" w:cs="Times New Roman"/>
          <w:sz w:val="24"/>
          <w:szCs w:val="20"/>
        </w:rPr>
        <w:t xml:space="preserve">da população </w:t>
      </w:r>
      <w:r w:rsidR="00040444" w:rsidRPr="00390ABA">
        <w:rPr>
          <w:rFonts w:ascii="Times New Roman" w:hAnsi="Times New Roman" w:cs="Times New Roman"/>
          <w:sz w:val="24"/>
          <w:szCs w:val="20"/>
        </w:rPr>
        <w:t xml:space="preserve">microbiana e coloração de Gram. </w:t>
      </w:r>
    </w:p>
    <w:p w:rsidR="00DD5B82" w:rsidRPr="00390ABA" w:rsidRDefault="00F25995" w:rsidP="009F2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</w:t>
      </w:r>
      <w:r w:rsidR="009F2604" w:rsidRPr="00390ABA">
        <w:rPr>
          <w:rFonts w:ascii="Times New Roman" w:hAnsi="Times New Roman" w:cs="Times New Roman"/>
          <w:sz w:val="24"/>
          <w:szCs w:val="20"/>
        </w:rPr>
        <w:t xml:space="preserve">urante </w:t>
      </w:r>
      <w:r>
        <w:rPr>
          <w:rFonts w:ascii="Times New Roman" w:hAnsi="Times New Roman" w:cs="Times New Roman"/>
          <w:sz w:val="24"/>
          <w:szCs w:val="20"/>
        </w:rPr>
        <w:t>o período de vigência d</w:t>
      </w:r>
      <w:r w:rsidR="009F2604" w:rsidRPr="00390ABA">
        <w:rPr>
          <w:rFonts w:ascii="Times New Roman" w:hAnsi="Times New Roman" w:cs="Times New Roman"/>
          <w:sz w:val="24"/>
          <w:szCs w:val="20"/>
        </w:rPr>
        <w:t>a monitoria</w:t>
      </w:r>
      <w:r>
        <w:rPr>
          <w:rFonts w:ascii="Times New Roman" w:hAnsi="Times New Roman" w:cs="Times New Roman"/>
          <w:sz w:val="24"/>
          <w:szCs w:val="20"/>
        </w:rPr>
        <w:t xml:space="preserve">, as aulas práticas </w:t>
      </w:r>
      <w:r w:rsidR="00A4301D" w:rsidRPr="00390ABA">
        <w:rPr>
          <w:rFonts w:ascii="Times New Roman" w:hAnsi="Times New Roman" w:cs="Times New Roman"/>
          <w:sz w:val="24"/>
          <w:szCs w:val="20"/>
        </w:rPr>
        <w:t>fo</w:t>
      </w:r>
      <w:r w:rsidR="009F2604" w:rsidRPr="00390ABA">
        <w:rPr>
          <w:rFonts w:ascii="Times New Roman" w:hAnsi="Times New Roman" w:cs="Times New Roman"/>
          <w:sz w:val="24"/>
          <w:szCs w:val="20"/>
        </w:rPr>
        <w:t xml:space="preserve">ram </w:t>
      </w:r>
      <w:r>
        <w:rPr>
          <w:rFonts w:ascii="Times New Roman" w:hAnsi="Times New Roman" w:cs="Times New Roman"/>
          <w:sz w:val="24"/>
          <w:szCs w:val="20"/>
        </w:rPr>
        <w:t xml:space="preserve">realizadas </w:t>
      </w:r>
      <w:r w:rsidR="0016567A" w:rsidRPr="00390ABA">
        <w:rPr>
          <w:rFonts w:ascii="Times New Roman" w:hAnsi="Times New Roman" w:cs="Times New Roman"/>
          <w:sz w:val="24"/>
          <w:szCs w:val="20"/>
        </w:rPr>
        <w:t xml:space="preserve">com a finalidade de </w:t>
      </w:r>
      <w:r>
        <w:rPr>
          <w:rFonts w:ascii="Times New Roman" w:hAnsi="Times New Roman" w:cs="Times New Roman"/>
          <w:sz w:val="24"/>
          <w:szCs w:val="20"/>
        </w:rPr>
        <w:t>tornam a</w:t>
      </w:r>
      <w:r w:rsidR="00787424">
        <w:rPr>
          <w:rFonts w:ascii="Times New Roman" w:hAnsi="Times New Roman" w:cs="Times New Roman"/>
          <w:sz w:val="24"/>
          <w:szCs w:val="20"/>
        </w:rPr>
        <w:t xml:space="preserve"> aula prazerosa</w:t>
      </w:r>
      <w:r>
        <w:rPr>
          <w:rFonts w:ascii="Times New Roman" w:hAnsi="Times New Roman" w:cs="Times New Roman"/>
          <w:sz w:val="24"/>
          <w:szCs w:val="20"/>
        </w:rPr>
        <w:t xml:space="preserve">, participativa e assim, </w:t>
      </w:r>
      <w:r w:rsidR="00787424">
        <w:rPr>
          <w:rFonts w:ascii="Times New Roman" w:hAnsi="Times New Roman" w:cs="Times New Roman"/>
          <w:sz w:val="24"/>
          <w:szCs w:val="20"/>
        </w:rPr>
        <w:t xml:space="preserve">fortalecer o aprendizado e </w:t>
      </w:r>
      <w:r w:rsidR="0016567A" w:rsidRPr="00390ABA">
        <w:rPr>
          <w:rFonts w:ascii="Times New Roman" w:hAnsi="Times New Roman" w:cs="Times New Roman"/>
          <w:sz w:val="24"/>
          <w:szCs w:val="20"/>
        </w:rPr>
        <w:t>fixar</w:t>
      </w:r>
      <w:r w:rsidR="00787424">
        <w:rPr>
          <w:rFonts w:ascii="Times New Roman" w:hAnsi="Times New Roman" w:cs="Times New Roman"/>
          <w:sz w:val="24"/>
          <w:szCs w:val="20"/>
        </w:rPr>
        <w:t xml:space="preserve"> melhor</w:t>
      </w:r>
      <w:r w:rsidR="0016567A" w:rsidRPr="00390ABA">
        <w:rPr>
          <w:rFonts w:ascii="Times New Roman" w:hAnsi="Times New Roman" w:cs="Times New Roman"/>
          <w:sz w:val="24"/>
          <w:szCs w:val="20"/>
        </w:rPr>
        <w:t xml:space="preserve"> o conteúdo programático da disciplina. Além disso, foram realizados</w:t>
      </w:r>
      <w:r w:rsidR="00514C4E" w:rsidRPr="00390ABA">
        <w:rPr>
          <w:rFonts w:ascii="Times New Roman" w:hAnsi="Times New Roman" w:cs="Times New Roman"/>
          <w:sz w:val="24"/>
          <w:szCs w:val="20"/>
        </w:rPr>
        <w:t xml:space="preserve"> </w:t>
      </w:r>
      <w:r w:rsidR="0016567A" w:rsidRPr="00390ABA">
        <w:rPr>
          <w:rFonts w:ascii="Times New Roman" w:hAnsi="Times New Roman" w:cs="Times New Roman"/>
          <w:sz w:val="24"/>
          <w:szCs w:val="20"/>
        </w:rPr>
        <w:t xml:space="preserve">semanalmente plantões, a fim de esclarecer as dúvidas dos alunos. A monitoria ainda contou com o auxílio de ferramentas digitais, </w:t>
      </w:r>
      <w:r w:rsidR="00787424">
        <w:rPr>
          <w:rFonts w:ascii="Times New Roman" w:hAnsi="Times New Roman" w:cs="Times New Roman"/>
          <w:sz w:val="24"/>
          <w:szCs w:val="20"/>
        </w:rPr>
        <w:t>que significou a extensão dos plantões de atendimento, possibilitando maior tempo de contato com o alunado.</w:t>
      </w:r>
      <w:r w:rsidR="0016567A" w:rsidRPr="00390ABA">
        <w:rPr>
          <w:rFonts w:ascii="Times New Roman" w:hAnsi="Times New Roman" w:cs="Times New Roman"/>
          <w:sz w:val="24"/>
          <w:szCs w:val="20"/>
        </w:rPr>
        <w:t xml:space="preserve"> </w:t>
      </w:r>
    </w:p>
    <w:p w:rsidR="009F2604" w:rsidRPr="00390ABA" w:rsidRDefault="002D1A1C" w:rsidP="00B31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Esta política de convivência, promoveu </w:t>
      </w:r>
      <w:r w:rsidR="009F2604" w:rsidRPr="00390ABA">
        <w:rPr>
          <w:rFonts w:ascii="Times New Roman" w:hAnsi="Times New Roman" w:cs="Times New Roman"/>
          <w:sz w:val="24"/>
          <w:szCs w:val="20"/>
        </w:rPr>
        <w:t xml:space="preserve">integração do ensino </w:t>
      </w:r>
      <w:r>
        <w:rPr>
          <w:rFonts w:ascii="Times New Roman" w:hAnsi="Times New Roman" w:cs="Times New Roman"/>
          <w:sz w:val="24"/>
          <w:szCs w:val="20"/>
        </w:rPr>
        <w:t>à</w:t>
      </w:r>
      <w:r w:rsidR="009F2604" w:rsidRPr="00390ABA">
        <w:rPr>
          <w:rFonts w:ascii="Times New Roman" w:hAnsi="Times New Roman" w:cs="Times New Roman"/>
          <w:sz w:val="24"/>
          <w:szCs w:val="20"/>
        </w:rPr>
        <w:t xml:space="preserve"> pesq</w:t>
      </w:r>
      <w:r w:rsidR="00914723" w:rsidRPr="00390ABA">
        <w:rPr>
          <w:rFonts w:ascii="Times New Roman" w:hAnsi="Times New Roman" w:cs="Times New Roman"/>
          <w:sz w:val="24"/>
          <w:szCs w:val="20"/>
        </w:rPr>
        <w:t xml:space="preserve">uisa, </w:t>
      </w:r>
      <w:r>
        <w:rPr>
          <w:rFonts w:ascii="Times New Roman" w:hAnsi="Times New Roman" w:cs="Times New Roman"/>
          <w:sz w:val="24"/>
          <w:szCs w:val="20"/>
        </w:rPr>
        <w:t xml:space="preserve">momomento no qual, </w:t>
      </w:r>
      <w:r w:rsidR="00914723" w:rsidRPr="00390ABA">
        <w:rPr>
          <w:rFonts w:ascii="Times New Roman" w:hAnsi="Times New Roman" w:cs="Times New Roman"/>
          <w:sz w:val="24"/>
          <w:szCs w:val="20"/>
        </w:rPr>
        <w:t xml:space="preserve">os monitores puderam </w:t>
      </w:r>
      <w:r w:rsidR="009F2604" w:rsidRPr="00390ABA">
        <w:rPr>
          <w:rFonts w:ascii="Times New Roman" w:hAnsi="Times New Roman" w:cs="Times New Roman"/>
          <w:sz w:val="24"/>
          <w:szCs w:val="20"/>
        </w:rPr>
        <w:t xml:space="preserve">aprender </w:t>
      </w:r>
      <w:r>
        <w:rPr>
          <w:rFonts w:ascii="Times New Roman" w:hAnsi="Times New Roman" w:cs="Times New Roman"/>
          <w:sz w:val="24"/>
          <w:szCs w:val="20"/>
        </w:rPr>
        <w:t>a se</w:t>
      </w:r>
      <w:r w:rsidR="009F2604" w:rsidRPr="00390ABA">
        <w:rPr>
          <w:rFonts w:ascii="Times New Roman" w:hAnsi="Times New Roman" w:cs="Times New Roman"/>
          <w:sz w:val="24"/>
          <w:szCs w:val="20"/>
        </w:rPr>
        <w:t xml:space="preserve"> conduzir e colaborar em trabalhos de pesquisas, coletar dados, interpretar </w:t>
      </w:r>
      <w:r w:rsidR="001B1678" w:rsidRPr="00390ABA">
        <w:rPr>
          <w:rFonts w:ascii="Times New Roman" w:hAnsi="Times New Roman" w:cs="Times New Roman"/>
          <w:sz w:val="24"/>
          <w:szCs w:val="20"/>
        </w:rPr>
        <w:t>resultados, preparar relatórios, além de auxiliar e compartilhar o aprendizado com o alunado.</w:t>
      </w:r>
      <w:r w:rsidR="009F2604" w:rsidRPr="00390ABA">
        <w:rPr>
          <w:rFonts w:ascii="Times New Roman" w:hAnsi="Times New Roman" w:cs="Times New Roman"/>
          <w:sz w:val="24"/>
          <w:szCs w:val="20"/>
        </w:rPr>
        <w:t xml:space="preserve"> Outros pontos importantes </w:t>
      </w:r>
      <w:r w:rsidR="001B1678" w:rsidRPr="00390ABA">
        <w:rPr>
          <w:rFonts w:ascii="Times New Roman" w:hAnsi="Times New Roman" w:cs="Times New Roman"/>
          <w:sz w:val="24"/>
          <w:szCs w:val="20"/>
        </w:rPr>
        <w:t xml:space="preserve">executados, </w:t>
      </w:r>
      <w:r w:rsidR="009F2604" w:rsidRPr="00390ABA">
        <w:rPr>
          <w:rFonts w:ascii="Times New Roman" w:hAnsi="Times New Roman" w:cs="Times New Roman"/>
          <w:sz w:val="24"/>
          <w:szCs w:val="20"/>
        </w:rPr>
        <w:t xml:space="preserve">foram: auxílio ao professor no planejamento das atividades que foram desenvolvidas no decorrer do curso da </w:t>
      </w:r>
      <w:r w:rsidR="009F2604" w:rsidRPr="00390ABA">
        <w:rPr>
          <w:rFonts w:ascii="Times New Roman" w:hAnsi="Times New Roman" w:cs="Times New Roman"/>
          <w:sz w:val="24"/>
          <w:szCs w:val="20"/>
        </w:rPr>
        <w:lastRenderedPageBreak/>
        <w:t xml:space="preserve">disciplina, preparação, acompanhamento e atuação nas aulas práticas, manutenção do laboratório e </w:t>
      </w:r>
      <w:r w:rsidR="001B1678" w:rsidRPr="00390ABA">
        <w:rPr>
          <w:rFonts w:ascii="Times New Roman" w:hAnsi="Times New Roman" w:cs="Times New Roman"/>
          <w:sz w:val="24"/>
          <w:szCs w:val="20"/>
        </w:rPr>
        <w:t>elaboração de</w:t>
      </w:r>
      <w:r w:rsidR="009F2604" w:rsidRPr="00390ABA">
        <w:rPr>
          <w:rFonts w:ascii="Times New Roman" w:hAnsi="Times New Roman" w:cs="Times New Roman"/>
          <w:sz w:val="24"/>
          <w:szCs w:val="20"/>
        </w:rPr>
        <w:t xml:space="preserve"> material didático.</w:t>
      </w:r>
      <w:r w:rsidR="001B1678" w:rsidRPr="00390ABA">
        <w:rPr>
          <w:rFonts w:ascii="Times New Roman" w:hAnsi="Times New Roman" w:cs="Times New Roman"/>
          <w:sz w:val="24"/>
          <w:szCs w:val="20"/>
        </w:rPr>
        <w:t xml:space="preserve"> </w:t>
      </w:r>
      <w:r w:rsidR="00AE0EC0" w:rsidRPr="00390ABA">
        <w:rPr>
          <w:rFonts w:ascii="Times New Roman" w:hAnsi="Times New Roman" w:cs="Times New Roman"/>
          <w:sz w:val="24"/>
          <w:szCs w:val="20"/>
        </w:rPr>
        <w:t xml:space="preserve">A </w:t>
      </w:r>
      <w:r w:rsidR="001B1678" w:rsidRPr="00390ABA">
        <w:rPr>
          <w:rFonts w:ascii="Times New Roman" w:hAnsi="Times New Roman" w:cs="Times New Roman"/>
          <w:sz w:val="24"/>
          <w:szCs w:val="20"/>
        </w:rPr>
        <w:t xml:space="preserve">partir disso, foi feita a </w:t>
      </w:r>
      <w:r w:rsidR="00AE0EC0" w:rsidRPr="00390ABA">
        <w:rPr>
          <w:rFonts w:ascii="Times New Roman" w:hAnsi="Times New Roman" w:cs="Times New Roman"/>
          <w:sz w:val="24"/>
          <w:szCs w:val="20"/>
        </w:rPr>
        <w:t xml:space="preserve">análise do processo ensino-aprendizagem </w:t>
      </w:r>
      <w:r w:rsidR="001B1678" w:rsidRPr="00390ABA">
        <w:rPr>
          <w:rFonts w:ascii="Times New Roman" w:hAnsi="Times New Roman" w:cs="Times New Roman"/>
          <w:sz w:val="24"/>
          <w:szCs w:val="20"/>
        </w:rPr>
        <w:t xml:space="preserve">dos alunos </w:t>
      </w:r>
      <w:r>
        <w:rPr>
          <w:rFonts w:ascii="Times New Roman" w:hAnsi="Times New Roman" w:cs="Times New Roman"/>
          <w:sz w:val="24"/>
          <w:szCs w:val="20"/>
        </w:rPr>
        <w:t xml:space="preserve">por meio </w:t>
      </w:r>
      <w:r w:rsidR="00AE0EC0" w:rsidRPr="00390ABA">
        <w:rPr>
          <w:rFonts w:ascii="Times New Roman" w:hAnsi="Times New Roman" w:cs="Times New Roman"/>
          <w:sz w:val="24"/>
          <w:szCs w:val="20"/>
        </w:rPr>
        <w:t>do í</w:t>
      </w:r>
      <w:r w:rsidR="007C0D1D" w:rsidRPr="00390ABA">
        <w:rPr>
          <w:rFonts w:ascii="Times New Roman" w:hAnsi="Times New Roman" w:cs="Times New Roman"/>
          <w:sz w:val="24"/>
          <w:szCs w:val="20"/>
        </w:rPr>
        <w:t>ndice de reprovação apresentado</w:t>
      </w:r>
      <w:r w:rsidR="00AE0EC0" w:rsidRPr="00390ABA">
        <w:rPr>
          <w:rFonts w:ascii="Times New Roman" w:hAnsi="Times New Roman" w:cs="Times New Roman"/>
          <w:sz w:val="24"/>
          <w:szCs w:val="20"/>
        </w:rPr>
        <w:t xml:space="preserve"> nas turmas do período de vigência da monitoria </w:t>
      </w:r>
      <w:r w:rsidR="007C0D1D" w:rsidRPr="00390ABA">
        <w:rPr>
          <w:rFonts w:ascii="Times New Roman" w:hAnsi="Times New Roman" w:cs="Times New Roman"/>
          <w:sz w:val="24"/>
          <w:szCs w:val="24"/>
        </w:rPr>
        <w:t>2011.2 e 2012.1.</w:t>
      </w:r>
    </w:p>
    <w:p w:rsidR="009F2604" w:rsidRPr="00390ABA" w:rsidRDefault="009F2604" w:rsidP="00B31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EF50C4" w:rsidRPr="00390ABA" w:rsidRDefault="00EF50C4" w:rsidP="00B31D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0ABA">
        <w:rPr>
          <w:rFonts w:ascii="Times New Roman" w:hAnsi="Times New Roman" w:cs="Times New Roman"/>
          <w:b/>
          <w:sz w:val="24"/>
          <w:szCs w:val="20"/>
        </w:rPr>
        <w:t>RESULTADOS E DISCUSSÃO</w:t>
      </w:r>
    </w:p>
    <w:p w:rsidR="00B31D46" w:rsidRPr="00390ABA" w:rsidRDefault="00B31D46" w:rsidP="00B31D46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0ABA">
        <w:rPr>
          <w:rFonts w:ascii="Times New Roman" w:hAnsi="Times New Roman" w:cs="Times New Roman"/>
          <w:b/>
          <w:sz w:val="24"/>
          <w:szCs w:val="20"/>
        </w:rPr>
        <w:tab/>
      </w:r>
    </w:p>
    <w:p w:rsidR="00B31D46" w:rsidRDefault="00B31D46" w:rsidP="002E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390ABA">
        <w:rPr>
          <w:rFonts w:ascii="Times New Roman" w:hAnsi="Times New Roman" w:cs="Times New Roman"/>
          <w:sz w:val="24"/>
          <w:szCs w:val="20"/>
        </w:rPr>
        <w:t>Durante o semestre letivo de 2011.2 foram matriculados na disciplina de Microbiologia do A</w:t>
      </w:r>
      <w:r w:rsidR="00E7045D" w:rsidRPr="00390ABA">
        <w:rPr>
          <w:rFonts w:ascii="Times New Roman" w:hAnsi="Times New Roman" w:cs="Times New Roman"/>
          <w:sz w:val="24"/>
          <w:szCs w:val="20"/>
        </w:rPr>
        <w:t>limentos 29 alunos, dos quais 26</w:t>
      </w:r>
      <w:r w:rsidRPr="00390ABA">
        <w:rPr>
          <w:rFonts w:ascii="Times New Roman" w:hAnsi="Times New Roman" w:cs="Times New Roman"/>
          <w:sz w:val="24"/>
          <w:szCs w:val="20"/>
        </w:rPr>
        <w:t xml:space="preserve"> obtiveram bom desempenho acadêmico sendo aprovados na disciplina. Do total de alunos ma</w:t>
      </w:r>
      <w:r w:rsidR="00E7045D" w:rsidRPr="00390ABA">
        <w:rPr>
          <w:rFonts w:ascii="Times New Roman" w:hAnsi="Times New Roman" w:cs="Times New Roman"/>
          <w:sz w:val="24"/>
          <w:szCs w:val="20"/>
        </w:rPr>
        <w:t>triculados três</w:t>
      </w:r>
      <w:r w:rsidR="0033348E" w:rsidRPr="00390ABA">
        <w:rPr>
          <w:rFonts w:ascii="Times New Roman" w:hAnsi="Times New Roman" w:cs="Times New Roman"/>
          <w:sz w:val="24"/>
          <w:szCs w:val="20"/>
        </w:rPr>
        <w:t xml:space="preserve"> deles não foram aprovados, sendo o índice de reprovação de 10,34</w:t>
      </w:r>
      <w:r w:rsidR="00E033BB" w:rsidRPr="00390ABA">
        <w:rPr>
          <w:rFonts w:ascii="Times New Roman" w:hAnsi="Times New Roman" w:cs="Times New Roman"/>
          <w:sz w:val="24"/>
          <w:szCs w:val="20"/>
        </w:rPr>
        <w:t>%, como representado na figura</w:t>
      </w:r>
      <w:r w:rsidR="0033348E" w:rsidRPr="00390ABA">
        <w:rPr>
          <w:rFonts w:ascii="Times New Roman" w:hAnsi="Times New Roman" w:cs="Times New Roman"/>
          <w:sz w:val="24"/>
          <w:szCs w:val="20"/>
        </w:rPr>
        <w:t xml:space="preserve"> 1.</w:t>
      </w:r>
      <w:r w:rsidR="00E7045D" w:rsidRPr="00390ABA">
        <w:rPr>
          <w:rFonts w:ascii="Times New Roman" w:hAnsi="Times New Roman" w:cs="Times New Roman"/>
          <w:sz w:val="24"/>
          <w:szCs w:val="20"/>
        </w:rPr>
        <w:t xml:space="preserve"> </w:t>
      </w:r>
    </w:p>
    <w:p w:rsidR="00C80917" w:rsidRPr="00390ABA" w:rsidRDefault="00C80917" w:rsidP="002E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8B0D80" w:rsidRPr="00390ABA" w:rsidRDefault="008B0D80" w:rsidP="00C809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390ABA">
        <w:rPr>
          <w:rFonts w:ascii="Times New Roman" w:hAnsi="Times New Roman" w:cs="Times New Roman"/>
          <w:noProof/>
          <w:sz w:val="24"/>
          <w:szCs w:val="20"/>
          <w:lang w:eastAsia="pt-BR"/>
        </w:rPr>
        <w:drawing>
          <wp:inline distT="0" distB="0" distL="0" distR="0">
            <wp:extent cx="5299445" cy="2060812"/>
            <wp:effectExtent l="19050" t="0" r="1550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0917" w:rsidRDefault="00C80917" w:rsidP="00A30C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  <w:r w:rsidRPr="00390ABA">
        <w:rPr>
          <w:rFonts w:ascii="Times New Roman" w:hAnsi="Times New Roman" w:cs="Times New Roman"/>
          <w:sz w:val="24"/>
          <w:szCs w:val="20"/>
        </w:rPr>
        <w:lastRenderedPageBreak/>
        <w:t>Enquanto que no</w:t>
      </w:r>
      <w:r w:rsidR="00A30C2A">
        <w:rPr>
          <w:rFonts w:ascii="Times New Roman" w:hAnsi="Times New Roman" w:cs="Times New Roman"/>
          <w:sz w:val="24"/>
          <w:szCs w:val="20"/>
        </w:rPr>
        <w:t xml:space="preserve"> período 2012.1</w:t>
      </w:r>
      <w:r w:rsidRPr="00390ABA">
        <w:rPr>
          <w:rFonts w:ascii="Times New Roman" w:hAnsi="Times New Roman" w:cs="Times New Roman"/>
          <w:sz w:val="24"/>
          <w:szCs w:val="20"/>
        </w:rPr>
        <w:t>, matricularam-se 35 alunos, onde 33 obtiveram aprovação por média sendo 5,71% o índice de reprovação, representado na figura 2.</w:t>
      </w:r>
    </w:p>
    <w:p w:rsidR="00A30C2A" w:rsidRDefault="00A30C2A" w:rsidP="00A30C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0"/>
        </w:rPr>
      </w:pPr>
    </w:p>
    <w:p w:rsidR="0033348E" w:rsidRPr="00390ABA" w:rsidRDefault="00C80917" w:rsidP="00A30C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390ABA">
        <w:rPr>
          <w:rFonts w:ascii="Times New Roman" w:hAnsi="Times New Roman" w:cs="Times New Roman"/>
          <w:noProof/>
          <w:sz w:val="24"/>
          <w:szCs w:val="20"/>
          <w:lang w:eastAsia="pt-BR"/>
        </w:rPr>
        <w:drawing>
          <wp:inline distT="0" distB="0" distL="0" distR="0">
            <wp:extent cx="5433230" cy="2081284"/>
            <wp:effectExtent l="19050" t="0" r="15070" b="0"/>
            <wp:docPr id="1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0C2F" w:rsidRPr="00390ABA" w:rsidRDefault="00241707" w:rsidP="00B31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0ABA">
        <w:rPr>
          <w:rFonts w:ascii="Times New Roman" w:hAnsi="Times New Roman" w:cs="Times New Roman"/>
          <w:sz w:val="24"/>
          <w:szCs w:val="20"/>
        </w:rPr>
        <w:t xml:space="preserve">     </w:t>
      </w:r>
    </w:p>
    <w:p w:rsidR="00E033BB" w:rsidRPr="00390ABA" w:rsidRDefault="00F50B4D" w:rsidP="002E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390ABA">
        <w:rPr>
          <w:rFonts w:ascii="Times New Roman" w:hAnsi="Times New Roman" w:cs="Times New Roman"/>
          <w:sz w:val="24"/>
          <w:szCs w:val="20"/>
        </w:rPr>
        <w:t>Na figura 3</w:t>
      </w:r>
      <w:r w:rsidR="008877EF" w:rsidRPr="00390ABA">
        <w:rPr>
          <w:rFonts w:ascii="Times New Roman" w:hAnsi="Times New Roman" w:cs="Times New Roman"/>
          <w:sz w:val="24"/>
          <w:szCs w:val="20"/>
        </w:rPr>
        <w:t xml:space="preserve"> é possível </w:t>
      </w:r>
      <w:r w:rsidRPr="00390ABA">
        <w:rPr>
          <w:rFonts w:ascii="Times New Roman" w:hAnsi="Times New Roman" w:cs="Times New Roman"/>
          <w:sz w:val="24"/>
          <w:szCs w:val="20"/>
        </w:rPr>
        <w:t>observar</w:t>
      </w:r>
      <w:r w:rsidR="002E19AC" w:rsidRPr="00390ABA">
        <w:rPr>
          <w:rFonts w:ascii="Times New Roman" w:hAnsi="Times New Roman" w:cs="Times New Roman"/>
          <w:sz w:val="24"/>
          <w:szCs w:val="20"/>
        </w:rPr>
        <w:t xml:space="preserve"> que, comparando as duas turmas, há uma evolução no desempenho e aprendizagem do alunado devido </w:t>
      </w:r>
      <w:r w:rsidR="00C94126" w:rsidRPr="00390ABA">
        <w:rPr>
          <w:rFonts w:ascii="Times New Roman" w:hAnsi="Times New Roman" w:cs="Times New Roman"/>
          <w:sz w:val="24"/>
          <w:szCs w:val="20"/>
        </w:rPr>
        <w:t>à</w:t>
      </w:r>
      <w:r w:rsidR="002E19AC" w:rsidRPr="00390ABA">
        <w:rPr>
          <w:rFonts w:ascii="Times New Roman" w:hAnsi="Times New Roman" w:cs="Times New Roman"/>
          <w:sz w:val="24"/>
          <w:szCs w:val="20"/>
        </w:rPr>
        <w:t xml:space="preserve"> diminuição do índice </w:t>
      </w:r>
      <w:r w:rsidR="00E033BB" w:rsidRPr="00390ABA">
        <w:rPr>
          <w:rFonts w:ascii="Times New Roman" w:hAnsi="Times New Roman" w:cs="Times New Roman"/>
          <w:sz w:val="24"/>
          <w:szCs w:val="20"/>
        </w:rPr>
        <w:t>de reprovação e consequentemente o aumento da aprovação na disciplina. Atribui-se este fato a uma melhor interação do aluno com os dois eixos facilitadores de ensino, o professor e o monitor.</w:t>
      </w:r>
      <w:r w:rsidR="00C94126" w:rsidRPr="00390ABA">
        <w:rPr>
          <w:rFonts w:ascii="Times New Roman" w:hAnsi="Times New Roman" w:cs="Times New Roman"/>
          <w:sz w:val="24"/>
          <w:szCs w:val="20"/>
        </w:rPr>
        <w:t xml:space="preserve"> De Jesus </w:t>
      </w:r>
      <w:r w:rsidR="00C94126" w:rsidRPr="00390ABA">
        <w:rPr>
          <w:rFonts w:ascii="Times New Roman" w:hAnsi="Times New Roman" w:cs="Times New Roman"/>
          <w:i/>
          <w:sz w:val="24"/>
          <w:szCs w:val="20"/>
        </w:rPr>
        <w:t>et al</w:t>
      </w:r>
      <w:r w:rsidR="00C94126" w:rsidRPr="00390ABA">
        <w:rPr>
          <w:rFonts w:ascii="Times New Roman" w:hAnsi="Times New Roman" w:cs="Times New Roman"/>
          <w:sz w:val="24"/>
          <w:szCs w:val="20"/>
        </w:rPr>
        <w:t xml:space="preserve"> (2012) relatam que há um aprendizado mais dinâmico e interativo </w:t>
      </w:r>
      <w:r w:rsidR="006D4128" w:rsidRPr="00390ABA">
        <w:rPr>
          <w:rFonts w:ascii="Times New Roman" w:hAnsi="Times New Roman" w:cs="Times New Roman"/>
          <w:sz w:val="24"/>
          <w:szCs w:val="20"/>
        </w:rPr>
        <w:t>do aluno</w:t>
      </w:r>
      <w:r w:rsidR="00C94126" w:rsidRPr="00390ABA">
        <w:rPr>
          <w:rFonts w:ascii="Times New Roman" w:hAnsi="Times New Roman" w:cs="Times New Roman"/>
          <w:sz w:val="24"/>
          <w:szCs w:val="20"/>
        </w:rPr>
        <w:t xml:space="preserve"> e um maior desenvolvimento de seu próprio processo de aprendizagem quando estes usufruem da monitoria. </w:t>
      </w:r>
    </w:p>
    <w:p w:rsidR="006F6CED" w:rsidRPr="00390ABA" w:rsidRDefault="001E3661" w:rsidP="009933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580390</wp:posOffset>
                </wp:positionV>
                <wp:extent cx="682625" cy="239395"/>
                <wp:effectExtent l="1905" t="0" r="1270" b="0"/>
                <wp:wrapNone/>
                <wp:docPr id="3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C55" w:rsidRPr="00A30C2A" w:rsidRDefault="00B97C55" w:rsidP="00993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30C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89,66%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65.4pt;margin-top:45.7pt;width:53.75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" filled="f" stroked="f" strokeweight=".5pt">
                <v:textbox>
                  <w:txbxContent>
                    <w:p w:rsidR="00B97C55" w:rsidRPr="00A30C2A" w:rsidRDefault="00B97C55" w:rsidP="009933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30C2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89,66%</w:t>
                      </w:r>
                    </w:p>
                  </w:txbxContent>
                </v:textbox>
              </v:shape>
            </w:pict>
          </mc:Fallback>
        </mc:AlternateContent>
      </w:r>
      <w:r w:rsidR="006F6CED" w:rsidRPr="00390ABA">
        <w:rPr>
          <w:rFonts w:ascii="Times New Roman" w:hAnsi="Times New Roman" w:cs="Times New Roman"/>
          <w:b/>
          <w:noProof/>
          <w:sz w:val="24"/>
          <w:szCs w:val="20"/>
          <w:lang w:eastAsia="pt-BR"/>
        </w:rPr>
        <w:drawing>
          <wp:inline distT="0" distB="0" distL="0" distR="0">
            <wp:extent cx="5269296" cy="2463420"/>
            <wp:effectExtent l="19050" t="0" r="26604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0C2A" w:rsidRDefault="00A30C2A" w:rsidP="00B31D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2D0E04" w:rsidRPr="00390ABA" w:rsidRDefault="002D0E04" w:rsidP="00B31D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0ABA">
        <w:rPr>
          <w:rFonts w:ascii="Times New Roman" w:hAnsi="Times New Roman" w:cs="Times New Roman"/>
          <w:b/>
          <w:sz w:val="24"/>
          <w:szCs w:val="20"/>
        </w:rPr>
        <w:t>CONCLUSÃO</w:t>
      </w:r>
    </w:p>
    <w:p w:rsidR="008A5FEE" w:rsidRPr="00390ABA" w:rsidRDefault="00B4713C" w:rsidP="008270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90ABA">
        <w:rPr>
          <w:rFonts w:ascii="Times New Roman" w:hAnsi="Times New Roman" w:cs="Times New Roman"/>
          <w:sz w:val="24"/>
        </w:rPr>
        <w:t>A</w:t>
      </w:r>
      <w:r w:rsidR="008A5FEE" w:rsidRPr="00390ABA">
        <w:rPr>
          <w:rFonts w:ascii="Times New Roman" w:hAnsi="Times New Roman" w:cs="Times New Roman"/>
          <w:sz w:val="24"/>
        </w:rPr>
        <w:t xml:space="preserve"> prática da monitoria acadêmica funciona como</w:t>
      </w:r>
      <w:r w:rsidR="00827012" w:rsidRPr="00390ABA">
        <w:rPr>
          <w:rFonts w:ascii="Times New Roman" w:hAnsi="Times New Roman" w:cs="Times New Roman"/>
          <w:sz w:val="24"/>
        </w:rPr>
        <w:t xml:space="preserve"> um instrumento facilitador </w:t>
      </w:r>
      <w:r w:rsidR="008A5FEE" w:rsidRPr="00390ABA">
        <w:rPr>
          <w:rFonts w:ascii="Times New Roman" w:hAnsi="Times New Roman" w:cs="Times New Roman"/>
          <w:sz w:val="24"/>
        </w:rPr>
        <w:t>do trabalho docente quando o monitor promove aos de</w:t>
      </w:r>
      <w:r w:rsidR="00827012" w:rsidRPr="00390ABA">
        <w:rPr>
          <w:rFonts w:ascii="Times New Roman" w:hAnsi="Times New Roman" w:cs="Times New Roman"/>
          <w:sz w:val="24"/>
        </w:rPr>
        <w:t xml:space="preserve">mais alunos o esclarecimento de </w:t>
      </w:r>
      <w:r w:rsidR="008A5FEE" w:rsidRPr="00390ABA">
        <w:rPr>
          <w:rFonts w:ascii="Times New Roman" w:hAnsi="Times New Roman" w:cs="Times New Roman"/>
          <w:sz w:val="24"/>
        </w:rPr>
        <w:lastRenderedPageBreak/>
        <w:t>conteúdos curriculares, direciona grupos de estudos e de discussões</w:t>
      </w:r>
      <w:r w:rsidRPr="00390ABA">
        <w:rPr>
          <w:rFonts w:ascii="Times New Roman" w:hAnsi="Times New Roman" w:cs="Times New Roman"/>
          <w:sz w:val="24"/>
        </w:rPr>
        <w:t>. Percebe-se a sua importância quando aparados aos dados que demonstram uma evolução</w:t>
      </w:r>
      <w:r w:rsidR="00B161EF" w:rsidRPr="00390ABA">
        <w:rPr>
          <w:rFonts w:ascii="Times New Roman" w:hAnsi="Times New Roman" w:cs="Times New Roman"/>
          <w:sz w:val="24"/>
        </w:rPr>
        <w:t xml:space="preserve"> no aprendizado, mesmo se tratando de tur</w:t>
      </w:r>
      <w:r w:rsidRPr="00390ABA">
        <w:rPr>
          <w:rFonts w:ascii="Times New Roman" w:hAnsi="Times New Roman" w:cs="Times New Roman"/>
          <w:sz w:val="24"/>
        </w:rPr>
        <w:t>mas</w:t>
      </w:r>
      <w:r w:rsidR="00B161EF" w:rsidRPr="00390ABA">
        <w:rPr>
          <w:rFonts w:ascii="Times New Roman" w:hAnsi="Times New Roman" w:cs="Times New Roman"/>
          <w:sz w:val="24"/>
        </w:rPr>
        <w:t xml:space="preserve"> diferentes, a partir de uma maior aprovação. </w:t>
      </w:r>
    </w:p>
    <w:p w:rsidR="00986F2D" w:rsidRPr="00390ABA" w:rsidRDefault="00986F2D" w:rsidP="00B31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D46" w:rsidRPr="00390ABA" w:rsidRDefault="00B31D46" w:rsidP="00B31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F2D" w:rsidRPr="00390ABA" w:rsidRDefault="00986F2D" w:rsidP="00986F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ABA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E7CD2" w:rsidRPr="00390ABA" w:rsidRDefault="00CE7CD2" w:rsidP="00986F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6CF" w:rsidRPr="00390ABA" w:rsidRDefault="00A506CF" w:rsidP="00A506CF">
      <w:pPr>
        <w:pStyle w:val="Default"/>
        <w:rPr>
          <w:rFonts w:ascii="Times New Roman" w:hAnsi="Times New Roman" w:cs="Times New Roman"/>
        </w:rPr>
      </w:pPr>
      <w:r w:rsidRPr="00390ABA">
        <w:rPr>
          <w:rFonts w:ascii="Times New Roman" w:hAnsi="Times New Roman" w:cs="Times New Roman"/>
        </w:rPr>
        <w:t xml:space="preserve">DE JESUS, D. M. O.; MANCEBO, R. C. ; PINTO, F. I. P. ; DE BARROS, G. V. E. </w:t>
      </w:r>
    </w:p>
    <w:p w:rsidR="00A506CF" w:rsidRPr="00390ABA" w:rsidRDefault="00A506CF" w:rsidP="00A506CF">
      <w:pPr>
        <w:pStyle w:val="Default"/>
        <w:rPr>
          <w:rFonts w:ascii="Times New Roman" w:hAnsi="Times New Roman" w:cs="Times New Roman"/>
        </w:rPr>
      </w:pPr>
      <w:r w:rsidRPr="00390ABA">
        <w:rPr>
          <w:rFonts w:ascii="Times New Roman" w:hAnsi="Times New Roman" w:cs="Times New Roman"/>
        </w:rPr>
        <w:t xml:space="preserve"> </w:t>
      </w:r>
      <w:r w:rsidRPr="00390ABA">
        <w:rPr>
          <w:rFonts w:ascii="Times New Roman" w:hAnsi="Times New Roman" w:cs="Times New Roman"/>
          <w:bCs/>
        </w:rPr>
        <w:t xml:space="preserve">Programas de monitorias: um estudo de caso em uma IFES.  </w:t>
      </w:r>
      <w:r w:rsidRPr="00390ABA">
        <w:rPr>
          <w:rFonts w:ascii="Times New Roman" w:hAnsi="Times New Roman" w:cs="Times New Roman"/>
          <w:b/>
        </w:rPr>
        <w:t>RPCA</w:t>
      </w:r>
      <w:r w:rsidRPr="00390ABA">
        <w:rPr>
          <w:rFonts w:ascii="Times New Roman" w:hAnsi="Times New Roman" w:cs="Times New Roman"/>
        </w:rPr>
        <w:t>.  Rio de Janeiro, v. 6 , n. 4 , p. 61-86,  out./dez. 2012.</w:t>
      </w:r>
    </w:p>
    <w:p w:rsidR="00A506CF" w:rsidRPr="00390ABA" w:rsidRDefault="00A506CF" w:rsidP="00CE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6CF" w:rsidRPr="00390ABA" w:rsidRDefault="00A506CF" w:rsidP="00A5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BA">
        <w:rPr>
          <w:rFonts w:ascii="Times New Roman" w:hAnsi="Times New Roman" w:cs="Times New Roman"/>
          <w:sz w:val="24"/>
          <w:szCs w:val="24"/>
        </w:rPr>
        <w:t xml:space="preserve">GUEDES FILHO, D. H.; SANTOS, R. J. C.; MALHEIROS, J. R. </w:t>
      </w:r>
      <w:r w:rsidRPr="00390ABA">
        <w:rPr>
          <w:rFonts w:ascii="Times New Roman" w:hAnsi="Times New Roman" w:cs="Times New Roman"/>
          <w:b/>
          <w:sz w:val="24"/>
          <w:szCs w:val="24"/>
        </w:rPr>
        <w:t>Iniciação à docência com a monitoria, contribuindo para a melhoria do ensino no curso de Zootecnia e Agronomia no período 2007/1</w:t>
      </w:r>
      <w:r w:rsidRPr="00390ABA">
        <w:rPr>
          <w:rFonts w:ascii="Times New Roman" w:hAnsi="Times New Roman" w:cs="Times New Roman"/>
          <w:sz w:val="24"/>
          <w:szCs w:val="24"/>
        </w:rPr>
        <w:t>. XI Encontro de Iniciação à Docência – Paraíba, João Pessoa: 2008.</w:t>
      </w:r>
    </w:p>
    <w:p w:rsidR="00A506CF" w:rsidRPr="00390ABA" w:rsidRDefault="00A506CF" w:rsidP="00CE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F2D" w:rsidRPr="00390ABA" w:rsidRDefault="00986F2D" w:rsidP="00CE7CD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0ABA">
        <w:rPr>
          <w:rFonts w:ascii="Times New Roman" w:hAnsi="Times New Roman" w:cs="Times New Roman"/>
          <w:sz w:val="24"/>
          <w:szCs w:val="24"/>
        </w:rPr>
        <w:t>PORTELA</w:t>
      </w:r>
      <w:r w:rsidR="00A643F1" w:rsidRPr="00390ABA">
        <w:rPr>
          <w:rFonts w:ascii="Times New Roman" w:hAnsi="Times New Roman" w:cs="Times New Roman"/>
          <w:sz w:val="24"/>
          <w:szCs w:val="24"/>
        </w:rPr>
        <w:t>,</w:t>
      </w:r>
      <w:r w:rsidRPr="00390ABA">
        <w:rPr>
          <w:rFonts w:ascii="Times New Roman" w:hAnsi="Times New Roman" w:cs="Times New Roman"/>
          <w:sz w:val="24"/>
          <w:szCs w:val="24"/>
        </w:rPr>
        <w:t xml:space="preserve"> L. H. S. </w:t>
      </w:r>
      <w:r w:rsidRPr="00390ABA">
        <w:rPr>
          <w:rFonts w:ascii="Times New Roman" w:hAnsi="Times New Roman" w:cs="Times New Roman"/>
          <w:b/>
          <w:sz w:val="24"/>
          <w:szCs w:val="24"/>
        </w:rPr>
        <w:t>Monitoria</w:t>
      </w:r>
      <w:r w:rsidRPr="00390ABA">
        <w:rPr>
          <w:rFonts w:ascii="Times New Roman" w:hAnsi="Times New Roman" w:cs="Times New Roman"/>
          <w:sz w:val="24"/>
          <w:szCs w:val="24"/>
        </w:rPr>
        <w:t>.</w:t>
      </w:r>
      <w:r w:rsidR="00365F8D" w:rsidRPr="00390ABA">
        <w:rPr>
          <w:rFonts w:ascii="Times New Roman" w:hAnsi="Times New Roman" w:cs="Times New Roman"/>
          <w:sz w:val="24"/>
          <w:szCs w:val="24"/>
        </w:rPr>
        <w:t xml:space="preserve"> Universidade de Brasília. Goiás, 2008.</w:t>
      </w:r>
      <w:r w:rsidRPr="00390ABA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0" w:history="1">
        <w:r w:rsidR="00365F8D" w:rsidRPr="00390ABA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http://www.unb.br/administracao/decanatos/deg/monitoria.htm</w:t>
        </w:r>
      </w:hyperlink>
      <w:r w:rsidR="00365F8D" w:rsidRPr="00390ABA">
        <w:rPr>
          <w:rFonts w:ascii="Times New Roman" w:hAnsi="Times New Roman" w:cs="Times New Roman"/>
          <w:sz w:val="24"/>
        </w:rPr>
        <w:t>. Acessado em: 18 de set. de 2013.</w:t>
      </w:r>
    </w:p>
    <w:p w:rsidR="00A506CF" w:rsidRPr="00390ABA" w:rsidRDefault="00A506CF" w:rsidP="00CE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3F1" w:rsidRPr="00390ABA" w:rsidRDefault="00A643F1" w:rsidP="00CE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BA">
        <w:rPr>
          <w:rFonts w:ascii="Times New Roman" w:hAnsi="Times New Roman" w:cs="Times New Roman"/>
          <w:sz w:val="24"/>
          <w:szCs w:val="24"/>
        </w:rPr>
        <w:t xml:space="preserve">SILVA, R. N., BELO, M. L. M. Experiências e reflexões de monitoria: contribuição ao ensino-aprendizagem. </w:t>
      </w:r>
      <w:r w:rsidRPr="00390ABA">
        <w:rPr>
          <w:rFonts w:ascii="Times New Roman" w:hAnsi="Times New Roman" w:cs="Times New Roman"/>
          <w:b/>
          <w:sz w:val="24"/>
          <w:szCs w:val="24"/>
        </w:rPr>
        <w:t>Scientia Plena</w:t>
      </w:r>
      <w:r w:rsidRPr="00390ABA">
        <w:rPr>
          <w:rFonts w:ascii="Times New Roman" w:hAnsi="Times New Roman" w:cs="Times New Roman"/>
          <w:sz w:val="24"/>
          <w:szCs w:val="24"/>
        </w:rPr>
        <w:t xml:space="preserve">. Arapiraca/AL, 2012.  </w:t>
      </w:r>
    </w:p>
    <w:p w:rsidR="00DB0FA1" w:rsidRPr="00390ABA" w:rsidRDefault="00DB0FA1" w:rsidP="00CE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0FA1" w:rsidRPr="00390ABA" w:rsidSect="00332D21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4A" w:rsidRDefault="000D484A" w:rsidP="00192885">
      <w:pPr>
        <w:spacing w:after="0" w:line="240" w:lineRule="auto"/>
      </w:pPr>
      <w:r>
        <w:separator/>
      </w:r>
    </w:p>
  </w:endnote>
  <w:endnote w:type="continuationSeparator" w:id="0">
    <w:p w:rsidR="000D484A" w:rsidRDefault="000D484A" w:rsidP="0019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304589"/>
      <w:docPartObj>
        <w:docPartGallery w:val="Page Numbers (Bottom of Page)"/>
        <w:docPartUnique/>
      </w:docPartObj>
    </w:sdtPr>
    <w:sdtEndPr/>
    <w:sdtContent>
      <w:p w:rsidR="00293C5F" w:rsidRDefault="004A68D6">
        <w:pPr>
          <w:pStyle w:val="Rodap"/>
          <w:jc w:val="right"/>
        </w:pPr>
        <w:r>
          <w:fldChar w:fldCharType="begin"/>
        </w:r>
        <w:r w:rsidR="00293C5F">
          <w:instrText>PAGE   \* MERGEFORMAT</w:instrText>
        </w:r>
        <w:r>
          <w:fldChar w:fldCharType="separate"/>
        </w:r>
        <w:r w:rsidR="001E3661">
          <w:rPr>
            <w:noProof/>
          </w:rPr>
          <w:t>2</w:t>
        </w:r>
        <w:r>
          <w:fldChar w:fldCharType="end"/>
        </w:r>
      </w:p>
    </w:sdtContent>
  </w:sdt>
  <w:p w:rsidR="00293C5F" w:rsidRDefault="00293C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4A" w:rsidRDefault="000D484A" w:rsidP="00192885">
      <w:pPr>
        <w:spacing w:after="0" w:line="240" w:lineRule="auto"/>
      </w:pPr>
      <w:r>
        <w:separator/>
      </w:r>
    </w:p>
  </w:footnote>
  <w:footnote w:type="continuationSeparator" w:id="0">
    <w:p w:rsidR="000D484A" w:rsidRDefault="000D484A" w:rsidP="0019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85" w:rsidRPr="002C53CF" w:rsidRDefault="00192885" w:rsidP="00192885">
    <w:pPr>
      <w:pStyle w:val="Cabealho"/>
      <w:tabs>
        <w:tab w:val="clear" w:pos="8504"/>
      </w:tabs>
      <w:rPr>
        <w:rFonts w:ascii="Times New Roman" w:hAnsi="Times New Roman" w:cs="Times New Roman"/>
        <w:color w:val="808080" w:themeColor="background1" w:themeShade="80"/>
        <w:sz w:val="36"/>
      </w:rPr>
    </w:pPr>
    <w:r w:rsidRPr="002C53CF">
      <w:rPr>
        <w:rFonts w:ascii="Times New Roman" w:hAnsi="Times New Roman" w:cs="Times New Roman"/>
        <w:bCs/>
        <w:color w:val="808080" w:themeColor="background1" w:themeShade="80"/>
        <w:sz w:val="24"/>
        <w:u w:val="single"/>
      </w:rPr>
      <w:t xml:space="preserve">UFPB-PRG    </w:t>
    </w:r>
    <w:r w:rsidR="00822690" w:rsidRPr="002C53CF">
      <w:rPr>
        <w:rFonts w:ascii="Times New Roman" w:hAnsi="Times New Roman" w:cs="Times New Roman"/>
        <w:bCs/>
        <w:color w:val="808080" w:themeColor="background1" w:themeShade="80"/>
        <w:sz w:val="24"/>
        <w:u w:val="single"/>
      </w:rPr>
      <w:t xml:space="preserve">       </w:t>
    </w:r>
    <w:r w:rsidRPr="002C53CF">
      <w:rPr>
        <w:rFonts w:ascii="Times New Roman" w:hAnsi="Times New Roman" w:cs="Times New Roman"/>
        <w:bCs/>
        <w:color w:val="808080" w:themeColor="background1" w:themeShade="80"/>
        <w:sz w:val="24"/>
        <w:u w:val="single"/>
      </w:rPr>
      <w:t xml:space="preserve">                                </w:t>
    </w:r>
    <w:r w:rsidR="00822690" w:rsidRPr="002C53CF">
      <w:rPr>
        <w:rFonts w:ascii="Times New Roman" w:hAnsi="Times New Roman" w:cs="Times New Roman"/>
        <w:bCs/>
        <w:color w:val="808080" w:themeColor="background1" w:themeShade="80"/>
        <w:sz w:val="24"/>
        <w:u w:val="single"/>
      </w:rPr>
      <w:t xml:space="preserve">                         </w:t>
    </w:r>
    <w:r w:rsidR="002C53CF">
      <w:rPr>
        <w:rFonts w:ascii="Times New Roman" w:hAnsi="Times New Roman" w:cs="Times New Roman"/>
        <w:bCs/>
        <w:color w:val="808080" w:themeColor="background1" w:themeShade="80"/>
        <w:sz w:val="24"/>
        <w:u w:val="single"/>
      </w:rPr>
      <w:t xml:space="preserve">     </w:t>
    </w:r>
    <w:r w:rsidR="00822690" w:rsidRPr="002C53CF">
      <w:rPr>
        <w:rFonts w:ascii="Times New Roman" w:hAnsi="Times New Roman" w:cs="Times New Roman"/>
        <w:bCs/>
        <w:color w:val="808080" w:themeColor="background1" w:themeShade="80"/>
        <w:sz w:val="24"/>
        <w:u w:val="single"/>
      </w:rPr>
      <w:t xml:space="preserve">    </w:t>
    </w:r>
    <w:r w:rsidRPr="002C53CF">
      <w:rPr>
        <w:rFonts w:ascii="Times New Roman" w:hAnsi="Times New Roman" w:cs="Times New Roman"/>
        <w:bCs/>
        <w:color w:val="808080" w:themeColor="background1" w:themeShade="80"/>
        <w:sz w:val="24"/>
        <w:u w:val="single"/>
      </w:rPr>
      <w:t xml:space="preserve"> Encontro de Iniciação à Docência</w:t>
    </w:r>
  </w:p>
  <w:p w:rsidR="00192885" w:rsidRPr="00822690" w:rsidRDefault="00192885">
    <w:pPr>
      <w:pStyle w:val="Cabealho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88"/>
    <w:rsid w:val="00037B2E"/>
    <w:rsid w:val="00040444"/>
    <w:rsid w:val="00062BBF"/>
    <w:rsid w:val="000675EF"/>
    <w:rsid w:val="000741A1"/>
    <w:rsid w:val="00080C2F"/>
    <w:rsid w:val="000A6148"/>
    <w:rsid w:val="000D484A"/>
    <w:rsid w:val="0016567A"/>
    <w:rsid w:val="00181CCD"/>
    <w:rsid w:val="00192885"/>
    <w:rsid w:val="001B1678"/>
    <w:rsid w:val="001E31EB"/>
    <w:rsid w:val="001E3661"/>
    <w:rsid w:val="001F704E"/>
    <w:rsid w:val="00203B75"/>
    <w:rsid w:val="00241707"/>
    <w:rsid w:val="002553CA"/>
    <w:rsid w:val="00264197"/>
    <w:rsid w:val="00293C5F"/>
    <w:rsid w:val="002A77B6"/>
    <w:rsid w:val="002C3896"/>
    <w:rsid w:val="002C53CF"/>
    <w:rsid w:val="002D0E04"/>
    <w:rsid w:val="002D1A1C"/>
    <w:rsid w:val="002E19AC"/>
    <w:rsid w:val="003225FE"/>
    <w:rsid w:val="00332D21"/>
    <w:rsid w:val="0033348E"/>
    <w:rsid w:val="00334265"/>
    <w:rsid w:val="00365F8D"/>
    <w:rsid w:val="00372497"/>
    <w:rsid w:val="00390ABA"/>
    <w:rsid w:val="003B65CA"/>
    <w:rsid w:val="003D7323"/>
    <w:rsid w:val="003F4872"/>
    <w:rsid w:val="004411F5"/>
    <w:rsid w:val="004734C1"/>
    <w:rsid w:val="00480224"/>
    <w:rsid w:val="004A68D6"/>
    <w:rsid w:val="004D7952"/>
    <w:rsid w:val="0050682C"/>
    <w:rsid w:val="005146FD"/>
    <w:rsid w:val="00514C4E"/>
    <w:rsid w:val="0052506A"/>
    <w:rsid w:val="00544103"/>
    <w:rsid w:val="00574E36"/>
    <w:rsid w:val="00592F63"/>
    <w:rsid w:val="005A0318"/>
    <w:rsid w:val="005B00A4"/>
    <w:rsid w:val="005D4877"/>
    <w:rsid w:val="005D728F"/>
    <w:rsid w:val="005F33AE"/>
    <w:rsid w:val="00605F3A"/>
    <w:rsid w:val="006516A2"/>
    <w:rsid w:val="006600BF"/>
    <w:rsid w:val="0067135A"/>
    <w:rsid w:val="006743AA"/>
    <w:rsid w:val="006A7F54"/>
    <w:rsid w:val="006D4128"/>
    <w:rsid w:val="006F6CED"/>
    <w:rsid w:val="006F738C"/>
    <w:rsid w:val="00720993"/>
    <w:rsid w:val="00781275"/>
    <w:rsid w:val="00784530"/>
    <w:rsid w:val="0078605F"/>
    <w:rsid w:val="00787424"/>
    <w:rsid w:val="007C0D1D"/>
    <w:rsid w:val="00822690"/>
    <w:rsid w:val="00827012"/>
    <w:rsid w:val="00834D21"/>
    <w:rsid w:val="0084362B"/>
    <w:rsid w:val="00857A88"/>
    <w:rsid w:val="00862010"/>
    <w:rsid w:val="008623E6"/>
    <w:rsid w:val="008877EF"/>
    <w:rsid w:val="008A5FEE"/>
    <w:rsid w:val="008B0D80"/>
    <w:rsid w:val="008C1A8F"/>
    <w:rsid w:val="008E2397"/>
    <w:rsid w:val="008F0B39"/>
    <w:rsid w:val="00914723"/>
    <w:rsid w:val="00930C39"/>
    <w:rsid w:val="0095607B"/>
    <w:rsid w:val="0097692C"/>
    <w:rsid w:val="00986F2D"/>
    <w:rsid w:val="00993362"/>
    <w:rsid w:val="009F2604"/>
    <w:rsid w:val="00A136D8"/>
    <w:rsid w:val="00A30C2A"/>
    <w:rsid w:val="00A32A68"/>
    <w:rsid w:val="00A4301D"/>
    <w:rsid w:val="00A46781"/>
    <w:rsid w:val="00A506CF"/>
    <w:rsid w:val="00A643F1"/>
    <w:rsid w:val="00A65F7A"/>
    <w:rsid w:val="00AE0EC0"/>
    <w:rsid w:val="00B10D4C"/>
    <w:rsid w:val="00B161EF"/>
    <w:rsid w:val="00B31D46"/>
    <w:rsid w:val="00B43CDA"/>
    <w:rsid w:val="00B4713C"/>
    <w:rsid w:val="00B47333"/>
    <w:rsid w:val="00B8192E"/>
    <w:rsid w:val="00B87D45"/>
    <w:rsid w:val="00B97C55"/>
    <w:rsid w:val="00BA4A34"/>
    <w:rsid w:val="00BB014A"/>
    <w:rsid w:val="00BC51AC"/>
    <w:rsid w:val="00BD1247"/>
    <w:rsid w:val="00BE0FB1"/>
    <w:rsid w:val="00C0330D"/>
    <w:rsid w:val="00C40F80"/>
    <w:rsid w:val="00C80917"/>
    <w:rsid w:val="00C94126"/>
    <w:rsid w:val="00CE22F2"/>
    <w:rsid w:val="00CE5990"/>
    <w:rsid w:val="00CE7CD2"/>
    <w:rsid w:val="00D40BE7"/>
    <w:rsid w:val="00D56EFF"/>
    <w:rsid w:val="00D60686"/>
    <w:rsid w:val="00D94D68"/>
    <w:rsid w:val="00DB0FA1"/>
    <w:rsid w:val="00DD5B82"/>
    <w:rsid w:val="00DE3545"/>
    <w:rsid w:val="00DF1F94"/>
    <w:rsid w:val="00E01839"/>
    <w:rsid w:val="00E033BB"/>
    <w:rsid w:val="00E10580"/>
    <w:rsid w:val="00E30308"/>
    <w:rsid w:val="00E7045D"/>
    <w:rsid w:val="00EC18F7"/>
    <w:rsid w:val="00ED3E05"/>
    <w:rsid w:val="00EF50C4"/>
    <w:rsid w:val="00EF7D5F"/>
    <w:rsid w:val="00F20A44"/>
    <w:rsid w:val="00F25995"/>
    <w:rsid w:val="00F50B4D"/>
    <w:rsid w:val="00F667F9"/>
    <w:rsid w:val="00F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2885"/>
  </w:style>
  <w:style w:type="paragraph" w:styleId="Rodap">
    <w:name w:val="footer"/>
    <w:basedOn w:val="Normal"/>
    <w:link w:val="RodapChar"/>
    <w:uiPriority w:val="99"/>
    <w:unhideWhenUsed/>
    <w:rsid w:val="00192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2885"/>
  </w:style>
  <w:style w:type="character" w:styleId="Hyperlink">
    <w:name w:val="Hyperlink"/>
    <w:basedOn w:val="Fontepargpadro"/>
    <w:uiPriority w:val="99"/>
    <w:semiHidden/>
    <w:unhideWhenUsed/>
    <w:rsid w:val="00365F8D"/>
    <w:rPr>
      <w:color w:val="0000FF"/>
      <w:u w:val="single"/>
    </w:rPr>
  </w:style>
  <w:style w:type="paragraph" w:customStyle="1" w:styleId="v12j">
    <w:name w:val="v12j"/>
    <w:basedOn w:val="Normal"/>
    <w:rsid w:val="00FF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1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0F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uiPriority w:val="1"/>
    <w:qFormat/>
    <w:rsid w:val="00D40B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2885"/>
  </w:style>
  <w:style w:type="paragraph" w:styleId="Rodap">
    <w:name w:val="footer"/>
    <w:basedOn w:val="Normal"/>
    <w:link w:val="RodapChar"/>
    <w:uiPriority w:val="99"/>
    <w:unhideWhenUsed/>
    <w:rsid w:val="00192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2885"/>
  </w:style>
  <w:style w:type="character" w:styleId="Hyperlink">
    <w:name w:val="Hyperlink"/>
    <w:basedOn w:val="Fontepargpadro"/>
    <w:uiPriority w:val="99"/>
    <w:semiHidden/>
    <w:unhideWhenUsed/>
    <w:rsid w:val="00365F8D"/>
    <w:rPr>
      <w:color w:val="0000FF"/>
      <w:u w:val="single"/>
    </w:rPr>
  </w:style>
  <w:style w:type="paragraph" w:customStyle="1" w:styleId="v12j">
    <w:name w:val="v12j"/>
    <w:basedOn w:val="Normal"/>
    <w:rsid w:val="00FF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1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0F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uiPriority w:val="1"/>
    <w:qFormat/>
    <w:rsid w:val="00D40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b.br/administracao/decanatos/deg/monitoria.htm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Planilha_do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 rot="0" vert="horz"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Fig. 1 - Índice de Reprovação dos alunos na</a:t>
            </a:r>
            <a:r>
              <a:rPr lang="en-US" sz="1000" baseline="0">
                <a:latin typeface="Times New Roman" pitchFamily="18" charset="0"/>
                <a:cs typeface="Times New Roman" pitchFamily="18" charset="0"/>
              </a:rPr>
              <a:t> disciplina Microbiologia dos alimentos no periodo 2011.2</a:t>
            </a:r>
            <a:endParaRPr lang="en-US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5467751811746333"/>
          <c:y val="3.298457113021469E-2"/>
        </c:manualLayout>
      </c:layout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67819271640709"/>
          <c:y val="0.23598270972801014"/>
          <c:w val="0.85208639772655437"/>
          <c:h val="0.62358041393392505"/>
        </c:manualLayout>
      </c:layout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dLbls>
            <c:dLbl>
              <c:idx val="0"/>
              <c:layout>
                <c:manualLayout>
                  <c:x val="-7.5215136518542586E-2"/>
                  <c:y val="-0.32563516886645139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/>
                      <a:t>9,66%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3809380954709433E-2"/>
                  <c:y val="4.179266219355508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0,34%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txPr>
              <a:bodyPr rot="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Plan1!$A$2:$A$5</c:f>
              <c:strCache>
                <c:ptCount val="2"/>
                <c:pt idx="0">
                  <c:v>Aprovação</c:v>
                </c:pt>
                <c:pt idx="1">
                  <c:v>Reprovação</c:v>
                </c:pt>
              </c:strCache>
            </c:strRef>
          </c:cat>
          <c:val>
            <c:numRef>
              <c:f>Plan1!$B$2:$B$5</c:f>
              <c:numCache>
                <c:formatCode>0.00%</c:formatCode>
                <c:ptCount val="4"/>
                <c:pt idx="0">
                  <c:v>0.93100000000000005</c:v>
                </c:pt>
                <c:pt idx="1">
                  <c:v>6.9000000000000034E-2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0"/>
        <c:txPr>
          <a:bodyPr rot="0" vert="horz"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legendEntry>
        <c:idx val="1"/>
        <c:txPr>
          <a:bodyPr rot="0" vert="horz"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29223513028251069"/>
          <c:y val="0.90888057717055215"/>
          <c:w val="0.420768838079916"/>
          <c:h val="6.8144821247524565E-2"/>
        </c:manualLayout>
      </c:layout>
      <c:overlay val="0"/>
      <c:txPr>
        <a:bodyPr rot="0" vert="horz"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vert="horz"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Figura</a:t>
            </a:r>
            <a:r>
              <a:rPr lang="en-US" sz="1000" baseline="0">
                <a:latin typeface="Times New Roman" pitchFamily="18" charset="0"/>
                <a:cs typeface="Times New Roman" pitchFamily="18" charset="0"/>
              </a:rPr>
              <a:t> 2 - 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Índice de reprovação dos alunos na disciplina Microbiologia</a:t>
            </a:r>
            <a:r>
              <a:rPr lang="en-US" sz="1000" baseline="0">
                <a:latin typeface="Times New Roman" pitchFamily="18" charset="0"/>
                <a:cs typeface="Times New Roman" pitchFamily="18" charset="0"/>
              </a:rPr>
              <a:t> dos alimentos no periodo 2012.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  <c:layout>
        <c:manualLayout>
          <c:xMode val="edge"/>
          <c:yMode val="edge"/>
          <c:x val="0.12122494354187115"/>
          <c:y val="1.8306007253214854E-2"/>
        </c:manualLayout>
      </c:layout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6598233626662348E-2"/>
          <c:y val="0.19425902927953675"/>
          <c:w val="0.96290384629111114"/>
          <c:h val="0.66577801480269172"/>
        </c:manualLayout>
      </c:layout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dLbls>
            <c:dLbl>
              <c:idx val="0"/>
              <c:layout>
                <c:manualLayout>
                  <c:x val="-6.5580050908943727E-2"/>
                  <c:y val="-0.3456174169406963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3712634878973604E-2"/>
                  <c:y val="7.37129733783278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txPr>
              <a:bodyPr rot="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Plan1!$A$2:$A$5</c:f>
              <c:strCache>
                <c:ptCount val="2"/>
                <c:pt idx="0">
                  <c:v>Aprovação</c:v>
                </c:pt>
                <c:pt idx="1">
                  <c:v>Reprovação</c:v>
                </c:pt>
              </c:strCache>
            </c:strRef>
          </c:cat>
          <c:val>
            <c:numRef>
              <c:f>Plan1!$B$2:$B$5</c:f>
              <c:numCache>
                <c:formatCode>0.00%</c:formatCode>
                <c:ptCount val="4"/>
                <c:pt idx="0">
                  <c:v>0.94290000000000063</c:v>
                </c:pt>
                <c:pt idx="1">
                  <c:v>5.7100000000000012E-2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0"/>
        <c:txPr>
          <a:bodyPr rot="0" vert="horz"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legendEntry>
        <c:idx val="1"/>
        <c:txPr>
          <a:bodyPr rot="0" vert="horz"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24001347805422787"/>
          <c:y val="0.89952582885128252"/>
          <c:w val="0.54292216325231646"/>
          <c:h val="0.10012131563385551"/>
        </c:manualLayout>
      </c:layout>
      <c:overlay val="0"/>
      <c:txPr>
        <a:bodyPr rot="0" vert="horz"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 rot="0" vert="horz"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pt-BR" sz="1000">
                <a:latin typeface="Times New Roman" pitchFamily="18" charset="0"/>
                <a:cs typeface="Times New Roman" pitchFamily="18" charset="0"/>
              </a:rPr>
              <a:t>Figura 3 - Avaliação comparativa de desempenho das turmas</a:t>
            </a:r>
            <a:r>
              <a:rPr lang="pt-BR" sz="1000" baseline="0">
                <a:latin typeface="Times New Roman" pitchFamily="18" charset="0"/>
                <a:cs typeface="Times New Roman" pitchFamily="18" charset="0"/>
              </a:rPr>
              <a:t> 2011.2 / 2012.1 quanto ao índice de aprovação e reprovação</a:t>
            </a:r>
            <a:endParaRPr lang="pt-BR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7539185352683029"/>
          <c:y val="1.9673476064660383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76254437025371"/>
          <c:y val="0.24039059518880265"/>
          <c:w val="0.82790135608049076"/>
          <c:h val="0.579697542846176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2011.2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2"/>
                <c:pt idx="0">
                  <c:v>Aprovação</c:v>
                </c:pt>
                <c:pt idx="1">
                  <c:v>Reprovação</c:v>
                </c:pt>
              </c:strCache>
            </c:strRef>
          </c:cat>
          <c:val>
            <c:numRef>
              <c:f>Plan1!$B$2:$B$5</c:f>
              <c:numCache>
                <c:formatCode>0.00%</c:formatCode>
                <c:ptCount val="4"/>
                <c:pt idx="0">
                  <c:v>0.89659999999999951</c:v>
                </c:pt>
                <c:pt idx="1">
                  <c:v>0.10340000000000002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2012.1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278689221482368E-2"/>
                  <c:y val="2.37434136282079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305539379580815E-2"/>
                  <c:y val="-3.93500503145277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 rot="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2"/>
                <c:pt idx="0">
                  <c:v>Aprovação</c:v>
                </c:pt>
                <c:pt idx="1">
                  <c:v>Reprovação</c:v>
                </c:pt>
              </c:strCache>
            </c:strRef>
          </c:cat>
          <c:val>
            <c:numRef>
              <c:f>Plan1!$C$2:$C$5</c:f>
              <c:numCache>
                <c:formatCode>0.00%</c:formatCode>
                <c:ptCount val="4"/>
                <c:pt idx="0">
                  <c:v>0.9429000000000004</c:v>
                </c:pt>
                <c:pt idx="1">
                  <c:v>5.7100000000000012E-2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2"/>
                <c:pt idx="0">
                  <c:v>Aprovação</c:v>
                </c:pt>
                <c:pt idx="1">
                  <c:v>Reprovação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958912"/>
        <c:axId val="157960448"/>
        <c:axId val="0"/>
      </c:bar3DChart>
      <c:catAx>
        <c:axId val="15795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157960448"/>
        <c:crosses val="autoZero"/>
        <c:auto val="1"/>
        <c:lblAlgn val="ctr"/>
        <c:lblOffset val="100"/>
        <c:noMultiLvlLbl val="0"/>
      </c:catAx>
      <c:valAx>
        <c:axId val="157960448"/>
        <c:scaling>
          <c:orientation val="minMax"/>
        </c:scaling>
        <c:delete val="1"/>
        <c:axPos val="l"/>
        <c:majorGridlines/>
        <c:numFmt formatCode="0.00%" sourceLinked="1"/>
        <c:majorTickMark val="none"/>
        <c:minorTickMark val="none"/>
        <c:tickLblPos val="none"/>
        <c:crossAx val="157958912"/>
        <c:crosses val="autoZero"/>
        <c:crossBetween val="between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6222990699326831"/>
          <c:y val="0.9178861095550086"/>
          <c:w val="0.2001186877436982"/>
          <c:h val="6.3865995530399552E-2"/>
        </c:manualLayout>
      </c:layout>
      <c:overlay val="0"/>
      <c:txPr>
        <a:bodyPr rot="0" vert="horz"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0.77257</cdr:x>
      <cdr:y>0.71225</cdr:y>
    </cdr:from>
    <cdr:to>
      <cdr:x>0.93924</cdr:x>
      <cdr:y>0.98575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4238625" y="23812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0.33756</cdr:x>
      <cdr:y>0.52643</cdr:y>
    </cdr:from>
    <cdr:to>
      <cdr:x>0.39834</cdr:x>
      <cdr:y>0.58562</cdr:y>
    </cdr:to>
    <cdr:sp macro="" textlink="">
      <cdr:nvSpPr>
        <cdr:cNvPr id="3" name="Caixa de texto 2"/>
        <cdr:cNvSpPr txBox="1"/>
      </cdr:nvSpPr>
      <cdr:spPr>
        <a:xfrm xmlns:a="http://schemas.openxmlformats.org/drawingml/2006/main">
          <a:off x="1932580" y="1699144"/>
          <a:ext cx="348018" cy="1910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t-BR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10,34%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edjeyse oliveira</dc:creator>
  <cp:lastModifiedBy>Chefiadepnut</cp:lastModifiedBy>
  <cp:revision>2</cp:revision>
  <dcterms:created xsi:type="dcterms:W3CDTF">2013-10-18T12:58:00Z</dcterms:created>
  <dcterms:modified xsi:type="dcterms:W3CDTF">2013-10-18T12:58:00Z</dcterms:modified>
</cp:coreProperties>
</file>